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C68BE" w14:textId="77777777" w:rsidR="008D3F15" w:rsidRPr="008D3F15" w:rsidRDefault="008D3F15" w:rsidP="008D3F15">
      <w:pPr>
        <w:rPr>
          <w:rFonts w:ascii="Calibri" w:hAnsi="Calibri" w:cs="Calibri"/>
          <w:b/>
          <w:bCs/>
          <w:sz w:val="32"/>
          <w:szCs w:val="32"/>
        </w:rPr>
      </w:pPr>
      <w:r w:rsidRPr="008D3F15">
        <w:rPr>
          <w:rFonts w:ascii="Calibri" w:hAnsi="Calibri" w:cs="Calibri"/>
          <w:b/>
          <w:bCs/>
          <w:sz w:val="32"/>
          <w:szCs w:val="32"/>
        </w:rPr>
        <w:t>Niet-indexering van wedden van schepenen en burgemeester</w:t>
      </w:r>
    </w:p>
    <w:p w14:paraId="351B21C2" w14:textId="77777777" w:rsidR="008D3F15" w:rsidRPr="008D3F15" w:rsidRDefault="008D3F15" w:rsidP="008D3F15">
      <w:pPr>
        <w:rPr>
          <w:rFonts w:ascii="Calibri" w:hAnsi="Calibri" w:cs="Calibri"/>
          <w:sz w:val="22"/>
          <w:szCs w:val="22"/>
        </w:rPr>
      </w:pPr>
      <w:r w:rsidRPr="008D3F15">
        <w:rPr>
          <w:rFonts w:ascii="Calibri" w:hAnsi="Calibri" w:cs="Calibri"/>
          <w:b/>
          <w:bCs/>
          <w:sz w:val="28"/>
          <w:szCs w:val="28"/>
        </w:rPr>
        <w:t>Bondige toelichting</w:t>
      </w:r>
      <w:r w:rsidRPr="008D3F15">
        <w:rPr>
          <w:rFonts w:ascii="Calibri" w:hAnsi="Calibri" w:cs="Calibri"/>
          <w:sz w:val="22"/>
          <w:szCs w:val="22"/>
        </w:rPr>
        <w:br/>
        <w:t>De hogere overheid gaat er voor de komende jaren van uit dat de index jaarlijks minstens 2% zal stijgen. Deze verhoging zal vermoedelijk ook worden opgenomen in het meerjarenplan. Daardoor zien we dat de vergoedingen van de burgemeester en schepenen opnieuw automatisch meestijgen met de index. Dat is wettelijk zo bepaald door Vlaanderen, maar in de praktijk betekent dit dat de vergoedingen voor het uitvoerend niveau jaar na jaar fors toenemen, ook wanneer onze inwoners zelf weinig of geen financiële marge hebben. Tegelijk verhoogt de coalitie systematisch alle kosten voor de Bomenaar.</w:t>
      </w:r>
    </w:p>
    <w:p w14:paraId="6CEAD60E" w14:textId="77777777" w:rsidR="008D3F15" w:rsidRPr="008D3F15" w:rsidRDefault="008D3F15" w:rsidP="008D3F15">
      <w:pPr>
        <w:rPr>
          <w:rFonts w:ascii="Calibri" w:hAnsi="Calibri" w:cs="Calibri"/>
          <w:sz w:val="22"/>
          <w:szCs w:val="22"/>
        </w:rPr>
      </w:pPr>
      <w:r w:rsidRPr="008D3F15">
        <w:rPr>
          <w:rFonts w:ascii="Calibri" w:hAnsi="Calibri" w:cs="Calibri"/>
          <w:sz w:val="22"/>
          <w:szCs w:val="22"/>
        </w:rPr>
        <w:t>Het nieuwe college van burgemeester en schepenen werd in onze gemeente maximaal ingevuld. Slechts één schepen minder zou deze legislatuur al een directe besparing van 300.000 euro opleveren. Een keuze die, ondanks de zeer lange onderhandelingen die naar eigen zeggen over de moeilijke begroting gingen, niet werd gemaakt.</w:t>
      </w:r>
    </w:p>
    <w:p w14:paraId="0822DB57" w14:textId="77777777" w:rsidR="008D3F15" w:rsidRPr="008D3F15" w:rsidRDefault="008D3F15" w:rsidP="008D3F15">
      <w:pPr>
        <w:rPr>
          <w:rFonts w:ascii="Calibri" w:hAnsi="Calibri" w:cs="Calibri"/>
          <w:sz w:val="22"/>
          <w:szCs w:val="22"/>
        </w:rPr>
      </w:pPr>
      <w:r w:rsidRPr="008D3F15">
        <w:rPr>
          <w:rFonts w:ascii="Calibri" w:hAnsi="Calibri" w:cs="Calibri"/>
          <w:b/>
          <w:bCs/>
          <w:sz w:val="22"/>
          <w:szCs w:val="22"/>
        </w:rPr>
        <w:t>Heel concreet:</w:t>
      </w:r>
      <w:r w:rsidRPr="008D3F15">
        <w:rPr>
          <w:rFonts w:ascii="Calibri" w:hAnsi="Calibri" w:cs="Calibri"/>
          <w:sz w:val="22"/>
          <w:szCs w:val="22"/>
        </w:rPr>
        <w:br/>
        <w:t>In 2024 bedroeg het brutoloon voor het volledige college 345.692 euro. Rekening houdend met een jaarlijkse indexering van 2% voor de periode 2026-2030, stijgt dat bedrag naar 389.306 euro in 2030.</w:t>
      </w:r>
    </w:p>
    <w:p w14:paraId="3C453CA6" w14:textId="77777777" w:rsidR="008D3F15" w:rsidRPr="008D3F15" w:rsidRDefault="008D3F15" w:rsidP="008D3F15">
      <w:pPr>
        <w:rPr>
          <w:rFonts w:ascii="Calibri" w:hAnsi="Calibri" w:cs="Calibri"/>
          <w:sz w:val="22"/>
          <w:szCs w:val="22"/>
        </w:rPr>
      </w:pPr>
      <w:r w:rsidRPr="008D3F15">
        <w:rPr>
          <w:rFonts w:ascii="Calibri" w:hAnsi="Calibri" w:cs="Calibri"/>
          <w:sz w:val="22"/>
          <w:szCs w:val="22"/>
        </w:rPr>
        <w:t>Terwijl deze bedragen automatisch blijven stijgen, heeft men in het Vlaams Parlement beslist om de eigen parlementaire wedden niet te indexeren, net zoals in de Kamer van Volksvertegenwoordigers. Elke partij, meerderheid én oppositie, heeft dat gesteund.</w:t>
      </w:r>
    </w:p>
    <w:p w14:paraId="47346DF1" w14:textId="77777777" w:rsidR="008D3F15" w:rsidRPr="008D3F15" w:rsidRDefault="008D3F15" w:rsidP="008D3F15">
      <w:pPr>
        <w:rPr>
          <w:rFonts w:ascii="Calibri" w:hAnsi="Calibri" w:cs="Calibri"/>
          <w:sz w:val="22"/>
          <w:szCs w:val="22"/>
        </w:rPr>
      </w:pPr>
      <w:r w:rsidRPr="008D3F15">
        <w:rPr>
          <w:rFonts w:ascii="Calibri" w:hAnsi="Calibri" w:cs="Calibri"/>
          <w:sz w:val="22"/>
          <w:szCs w:val="22"/>
        </w:rPr>
        <w:t>Dit gebeurt terwijl:</w:t>
      </w:r>
    </w:p>
    <w:p w14:paraId="416A94E3" w14:textId="77777777" w:rsidR="008D3F15" w:rsidRPr="008D3F15" w:rsidRDefault="008D3F15" w:rsidP="008D3F15">
      <w:pPr>
        <w:numPr>
          <w:ilvl w:val="0"/>
          <w:numId w:val="1"/>
        </w:numPr>
        <w:rPr>
          <w:rFonts w:ascii="Calibri" w:hAnsi="Calibri" w:cs="Calibri"/>
          <w:sz w:val="22"/>
          <w:szCs w:val="22"/>
        </w:rPr>
      </w:pPr>
      <w:r w:rsidRPr="008D3F15">
        <w:rPr>
          <w:rFonts w:ascii="Calibri" w:hAnsi="Calibri" w:cs="Calibri"/>
          <w:sz w:val="22"/>
          <w:szCs w:val="22"/>
        </w:rPr>
        <w:t>voor de hele bevolking binnenkort een centenindex geldt;</w:t>
      </w:r>
    </w:p>
    <w:p w14:paraId="30DE963E" w14:textId="77777777" w:rsidR="008D3F15" w:rsidRPr="008D3F15" w:rsidRDefault="008D3F15" w:rsidP="008D3F15">
      <w:pPr>
        <w:numPr>
          <w:ilvl w:val="0"/>
          <w:numId w:val="1"/>
        </w:numPr>
        <w:rPr>
          <w:rFonts w:ascii="Calibri" w:hAnsi="Calibri" w:cs="Calibri"/>
          <w:sz w:val="22"/>
          <w:szCs w:val="22"/>
        </w:rPr>
      </w:pPr>
      <w:r w:rsidRPr="008D3F15">
        <w:rPr>
          <w:rFonts w:ascii="Calibri" w:hAnsi="Calibri" w:cs="Calibri"/>
          <w:sz w:val="22"/>
          <w:szCs w:val="22"/>
        </w:rPr>
        <w:t>in maart een forse besparing van 40 VTE op het gemeentelijk personeel werd aangekondigd;</w:t>
      </w:r>
    </w:p>
    <w:p w14:paraId="663690D4" w14:textId="77777777" w:rsidR="008D3F15" w:rsidRPr="008D3F15" w:rsidRDefault="008D3F15" w:rsidP="008D3F15">
      <w:pPr>
        <w:numPr>
          <w:ilvl w:val="0"/>
          <w:numId w:val="1"/>
        </w:numPr>
        <w:rPr>
          <w:rFonts w:ascii="Calibri" w:hAnsi="Calibri" w:cs="Calibri"/>
          <w:sz w:val="22"/>
          <w:szCs w:val="22"/>
        </w:rPr>
      </w:pPr>
      <w:r w:rsidRPr="008D3F15">
        <w:rPr>
          <w:rFonts w:ascii="Calibri" w:hAnsi="Calibri" w:cs="Calibri"/>
          <w:sz w:val="22"/>
          <w:szCs w:val="22"/>
        </w:rPr>
        <w:t>zowat alle kosten in Boom gestegen zijn, met prijsstijgingen tot 65% voor afvalzakken, tot +40% voor het containerpark en diverse diensten;</w:t>
      </w:r>
    </w:p>
    <w:p w14:paraId="565EF9B8" w14:textId="6BF2C5E8" w:rsidR="008D3F15" w:rsidRPr="008D3F15" w:rsidRDefault="008D3F15" w:rsidP="008D3F15">
      <w:pPr>
        <w:numPr>
          <w:ilvl w:val="0"/>
          <w:numId w:val="1"/>
        </w:numPr>
        <w:rPr>
          <w:rFonts w:ascii="Calibri" w:hAnsi="Calibri" w:cs="Calibri"/>
          <w:sz w:val="22"/>
          <w:szCs w:val="22"/>
        </w:rPr>
      </w:pPr>
      <w:r w:rsidRPr="008D3F15">
        <w:rPr>
          <w:rFonts w:ascii="Calibri" w:hAnsi="Calibri" w:cs="Calibri"/>
          <w:sz w:val="22"/>
          <w:szCs w:val="22"/>
        </w:rPr>
        <w:t xml:space="preserve">de </w:t>
      </w:r>
      <w:r w:rsidR="00645BC1">
        <w:rPr>
          <w:rFonts w:ascii="Calibri" w:hAnsi="Calibri" w:cs="Calibri"/>
          <w:sz w:val="22"/>
          <w:szCs w:val="22"/>
        </w:rPr>
        <w:t xml:space="preserve">vergoeding voor de </w:t>
      </w:r>
      <w:r w:rsidRPr="008D3F15">
        <w:rPr>
          <w:rFonts w:ascii="Calibri" w:hAnsi="Calibri" w:cs="Calibri"/>
          <w:sz w:val="22"/>
          <w:szCs w:val="22"/>
        </w:rPr>
        <w:t>ophaling van snoeihout en matrassen verdrievoudigt;</w:t>
      </w:r>
    </w:p>
    <w:p w14:paraId="149EE67B" w14:textId="77777777" w:rsidR="008D3F15" w:rsidRPr="008D3F15" w:rsidRDefault="008D3F15" w:rsidP="008D3F15">
      <w:pPr>
        <w:numPr>
          <w:ilvl w:val="0"/>
          <w:numId w:val="1"/>
        </w:numPr>
        <w:rPr>
          <w:rFonts w:ascii="Calibri" w:hAnsi="Calibri" w:cs="Calibri"/>
          <w:sz w:val="22"/>
          <w:szCs w:val="22"/>
        </w:rPr>
      </w:pPr>
      <w:r w:rsidRPr="008D3F15">
        <w:rPr>
          <w:rFonts w:ascii="Calibri" w:hAnsi="Calibri" w:cs="Calibri"/>
          <w:sz w:val="22"/>
          <w:szCs w:val="22"/>
        </w:rPr>
        <w:t>de waterfactuur in onze gemeente een tweede belastingbrief werd door de lokale saneringsbijdrage, die stijgt met 44%;</w:t>
      </w:r>
    </w:p>
    <w:p w14:paraId="2EFCBFF8" w14:textId="77777777" w:rsidR="008D3F15" w:rsidRPr="008D3F15" w:rsidRDefault="008D3F15" w:rsidP="008D3F15">
      <w:pPr>
        <w:numPr>
          <w:ilvl w:val="0"/>
          <w:numId w:val="1"/>
        </w:numPr>
        <w:rPr>
          <w:rFonts w:ascii="Calibri" w:hAnsi="Calibri" w:cs="Calibri"/>
          <w:sz w:val="22"/>
          <w:szCs w:val="22"/>
        </w:rPr>
      </w:pPr>
      <w:r w:rsidRPr="008D3F15">
        <w:rPr>
          <w:rFonts w:ascii="Calibri" w:hAnsi="Calibri" w:cs="Calibri"/>
          <w:sz w:val="22"/>
          <w:szCs w:val="22"/>
        </w:rPr>
        <w:t>zelfs jeugdbewegingen en sportclubs minder subsidies krijgen;</w:t>
      </w:r>
    </w:p>
    <w:p w14:paraId="315D6B48" w14:textId="77777777" w:rsidR="008D3F15" w:rsidRPr="008D3F15" w:rsidRDefault="008D3F15" w:rsidP="008D3F15">
      <w:pPr>
        <w:numPr>
          <w:ilvl w:val="0"/>
          <w:numId w:val="1"/>
        </w:numPr>
        <w:rPr>
          <w:rFonts w:ascii="Calibri" w:hAnsi="Calibri" w:cs="Calibri"/>
          <w:sz w:val="22"/>
          <w:szCs w:val="22"/>
        </w:rPr>
      </w:pPr>
      <w:r w:rsidRPr="008D3F15">
        <w:rPr>
          <w:rFonts w:ascii="Calibri" w:hAnsi="Calibri" w:cs="Calibri"/>
          <w:sz w:val="22"/>
          <w:szCs w:val="22"/>
        </w:rPr>
        <w:t>eigenaars van tweede verblijven een verhoging krijgen van 600 naar 2.000 euro.</w:t>
      </w:r>
    </w:p>
    <w:p w14:paraId="67E968FE" w14:textId="77777777" w:rsidR="008D3F15" w:rsidRPr="008D3F15" w:rsidRDefault="008D3F15" w:rsidP="008D3F15">
      <w:pPr>
        <w:rPr>
          <w:rFonts w:ascii="Calibri" w:hAnsi="Calibri" w:cs="Calibri"/>
          <w:sz w:val="22"/>
          <w:szCs w:val="22"/>
        </w:rPr>
      </w:pPr>
      <w:r w:rsidRPr="008D3F15">
        <w:rPr>
          <w:rFonts w:ascii="Calibri" w:hAnsi="Calibri" w:cs="Calibri"/>
          <w:sz w:val="22"/>
          <w:szCs w:val="22"/>
        </w:rPr>
        <w:t>Als iedereen meer moet betalen of fors moet besparen, lijkt het mij zeer logisch dat er ook wordt bespaard op de politiek.</w:t>
      </w:r>
    </w:p>
    <w:p w14:paraId="006DCF30" w14:textId="77777777" w:rsidR="008D3F15" w:rsidRPr="008D3F15" w:rsidRDefault="008D3F15" w:rsidP="008D3F15">
      <w:pPr>
        <w:rPr>
          <w:rFonts w:ascii="Calibri" w:hAnsi="Calibri" w:cs="Calibri"/>
          <w:sz w:val="22"/>
          <w:szCs w:val="22"/>
        </w:rPr>
      </w:pPr>
      <w:r w:rsidRPr="008D3F15">
        <w:rPr>
          <w:rFonts w:ascii="Calibri" w:hAnsi="Calibri" w:cs="Calibri"/>
          <w:sz w:val="22"/>
          <w:szCs w:val="22"/>
        </w:rPr>
        <w:t>Door onderstaand billijk voorstel toe te passen, realiseren we een besparing van 106.000 euro.</w:t>
      </w:r>
      <w:r w:rsidRPr="008D3F15">
        <w:rPr>
          <w:rFonts w:ascii="Calibri" w:hAnsi="Calibri" w:cs="Calibri"/>
          <w:sz w:val="22"/>
          <w:szCs w:val="22"/>
        </w:rPr>
        <w:br/>
        <w:t>Dit neutraliseert niet alleen de verwachte indexstijging van de komende jaren, maar zorgt ook voor een directe besparing in de begroting. Dat is broodnodig in tijden waarin de financiële ruimte zeer krap is en we bovenmenselijke inspanningen vragen van de bevolking en het personeel.</w:t>
      </w:r>
    </w:p>
    <w:p w14:paraId="0FB22208" w14:textId="5082D7EE" w:rsidR="008D3F15" w:rsidRPr="008D3F15" w:rsidRDefault="008D3F15" w:rsidP="008D3F15">
      <w:pPr>
        <w:rPr>
          <w:rFonts w:ascii="Calibri" w:hAnsi="Calibri" w:cs="Calibri"/>
          <w:sz w:val="22"/>
          <w:szCs w:val="22"/>
        </w:rPr>
      </w:pPr>
      <w:r w:rsidRPr="008D3F15">
        <w:rPr>
          <w:rFonts w:ascii="Calibri" w:hAnsi="Calibri" w:cs="Calibri"/>
          <w:b/>
          <w:bCs/>
          <w:sz w:val="22"/>
          <w:szCs w:val="22"/>
        </w:rPr>
        <w:t>Wie bestuurt, moet</w:t>
      </w:r>
      <w:r w:rsidR="00645BC1">
        <w:rPr>
          <w:rFonts w:ascii="Calibri" w:hAnsi="Calibri" w:cs="Calibri"/>
          <w:b/>
          <w:bCs/>
          <w:sz w:val="22"/>
          <w:szCs w:val="22"/>
        </w:rPr>
        <w:t xml:space="preserve"> bovendien</w:t>
      </w:r>
      <w:r w:rsidRPr="008D3F15">
        <w:rPr>
          <w:rFonts w:ascii="Calibri" w:hAnsi="Calibri" w:cs="Calibri"/>
          <w:b/>
          <w:bCs/>
          <w:sz w:val="22"/>
          <w:szCs w:val="22"/>
        </w:rPr>
        <w:t xml:space="preserve"> het goede voorbeeld geven.</w:t>
      </w:r>
    </w:p>
    <w:p w14:paraId="3FD04C39" w14:textId="77777777" w:rsidR="008D3F15" w:rsidRPr="008D3F15" w:rsidRDefault="008D3F15" w:rsidP="008D3F15">
      <w:pPr>
        <w:rPr>
          <w:rFonts w:ascii="Calibri" w:hAnsi="Calibri" w:cs="Calibri"/>
          <w:sz w:val="22"/>
          <w:szCs w:val="22"/>
        </w:rPr>
      </w:pPr>
      <w:r w:rsidRPr="008D3F15">
        <w:rPr>
          <w:rFonts w:ascii="Calibri" w:hAnsi="Calibri" w:cs="Calibri"/>
          <w:sz w:val="22"/>
          <w:szCs w:val="22"/>
        </w:rPr>
        <w:lastRenderedPageBreak/>
        <w:pict w14:anchorId="2EE659B6">
          <v:rect id="_x0000_i1031" style="width:0;height:1.5pt" o:hralign="center" o:hrstd="t" o:hr="t" fillcolor="#a0a0a0" stroked="f"/>
        </w:pict>
      </w:r>
    </w:p>
    <w:p w14:paraId="3508F858" w14:textId="77777777" w:rsidR="008D3F15" w:rsidRPr="008D3F15" w:rsidRDefault="008D3F15" w:rsidP="008D3F15">
      <w:pPr>
        <w:rPr>
          <w:rFonts w:ascii="Calibri" w:hAnsi="Calibri" w:cs="Calibri"/>
          <w:b/>
          <w:bCs/>
          <w:sz w:val="28"/>
          <w:szCs w:val="28"/>
        </w:rPr>
      </w:pPr>
      <w:r w:rsidRPr="008D3F15">
        <w:rPr>
          <w:rFonts w:ascii="Calibri" w:hAnsi="Calibri" w:cs="Calibri"/>
          <w:b/>
          <w:bCs/>
          <w:sz w:val="28"/>
          <w:szCs w:val="28"/>
        </w:rPr>
        <w:t>Voorstel tot beslissing</w:t>
      </w:r>
    </w:p>
    <w:p w14:paraId="342C0AA8" w14:textId="77777777" w:rsidR="008D3F15" w:rsidRPr="008D3F15" w:rsidRDefault="008D3F15" w:rsidP="008D3F15">
      <w:pPr>
        <w:rPr>
          <w:rFonts w:ascii="Calibri" w:hAnsi="Calibri" w:cs="Calibri"/>
          <w:sz w:val="22"/>
          <w:szCs w:val="22"/>
        </w:rPr>
      </w:pPr>
      <w:r w:rsidRPr="008D3F15">
        <w:rPr>
          <w:rFonts w:ascii="Calibri" w:hAnsi="Calibri" w:cs="Calibri"/>
          <w:sz w:val="22"/>
          <w:szCs w:val="22"/>
        </w:rPr>
        <w:t>De gemeenteraad beslist:</w:t>
      </w:r>
    </w:p>
    <w:p w14:paraId="18A19BD6" w14:textId="77777777" w:rsidR="008D3F15" w:rsidRPr="008D3F15" w:rsidRDefault="008D3F15" w:rsidP="008D3F15">
      <w:pPr>
        <w:numPr>
          <w:ilvl w:val="0"/>
          <w:numId w:val="2"/>
        </w:numPr>
        <w:rPr>
          <w:rFonts w:ascii="Calibri" w:hAnsi="Calibri" w:cs="Calibri"/>
          <w:sz w:val="22"/>
          <w:szCs w:val="22"/>
        </w:rPr>
      </w:pPr>
      <w:r w:rsidRPr="008D3F15">
        <w:rPr>
          <w:rFonts w:ascii="Calibri" w:hAnsi="Calibri" w:cs="Calibri"/>
          <w:b/>
          <w:bCs/>
          <w:sz w:val="22"/>
          <w:szCs w:val="22"/>
        </w:rPr>
        <w:t>Toepassing wettelijke indexering</w:t>
      </w:r>
      <w:r w:rsidRPr="008D3F15">
        <w:rPr>
          <w:rFonts w:ascii="Calibri" w:hAnsi="Calibri" w:cs="Calibri"/>
          <w:sz w:val="22"/>
          <w:szCs w:val="22"/>
        </w:rPr>
        <w:br/>
        <w:t>De automatische indexatie van de wedden van burgemeester en schepenen, zoals vastgesteld door de Vlaamse Regering, wordt verder toegepast zoals juridisch verplicht.</w:t>
      </w:r>
    </w:p>
    <w:p w14:paraId="0AE41B31" w14:textId="2141FACE" w:rsidR="008D3F15" w:rsidRPr="008D3F15" w:rsidRDefault="008D3F15" w:rsidP="008D3F15">
      <w:pPr>
        <w:numPr>
          <w:ilvl w:val="0"/>
          <w:numId w:val="2"/>
        </w:numPr>
        <w:rPr>
          <w:rFonts w:ascii="Calibri" w:hAnsi="Calibri" w:cs="Calibri"/>
          <w:sz w:val="22"/>
          <w:szCs w:val="22"/>
        </w:rPr>
      </w:pPr>
      <w:r w:rsidRPr="008D3F15">
        <w:rPr>
          <w:rFonts w:ascii="Calibri" w:hAnsi="Calibri" w:cs="Calibri"/>
          <w:b/>
          <w:bCs/>
          <w:sz w:val="22"/>
          <w:szCs w:val="22"/>
        </w:rPr>
        <w:t>Forfaitaire jaarlijkse inhouding</w:t>
      </w:r>
      <w:r w:rsidRPr="008D3F15">
        <w:rPr>
          <w:rFonts w:ascii="Calibri" w:hAnsi="Calibri" w:cs="Calibri"/>
          <w:sz w:val="22"/>
          <w:szCs w:val="22"/>
        </w:rPr>
        <w:br/>
        <w:t>Burgemeester en schepenen verbinden zich ertoe vrijwillig een inhouding te laten verrichten van 2% op hun jaarlijkse wedde voor het jaar 2026, 4% voor 2027, 6% voor 2028 en 8% voor 2029 en 2030, teneinde de effectieve uitbetaling te matigen en de stijging door indexatie te neutraliseren.</w:t>
      </w:r>
    </w:p>
    <w:p w14:paraId="6BF3CDFC" w14:textId="77777777" w:rsidR="008D3F15" w:rsidRPr="008D3F15" w:rsidRDefault="008D3F15" w:rsidP="008D3F15">
      <w:pPr>
        <w:numPr>
          <w:ilvl w:val="0"/>
          <w:numId w:val="2"/>
        </w:numPr>
        <w:rPr>
          <w:rFonts w:ascii="Calibri" w:hAnsi="Calibri" w:cs="Calibri"/>
          <w:sz w:val="22"/>
          <w:szCs w:val="22"/>
        </w:rPr>
      </w:pPr>
      <w:r w:rsidRPr="008D3F15">
        <w:rPr>
          <w:rFonts w:ascii="Calibri" w:hAnsi="Calibri" w:cs="Calibri"/>
          <w:b/>
          <w:bCs/>
          <w:sz w:val="22"/>
          <w:szCs w:val="22"/>
        </w:rPr>
        <w:t>Technische verwerking</w:t>
      </w:r>
      <w:r w:rsidRPr="008D3F15">
        <w:rPr>
          <w:rFonts w:ascii="Calibri" w:hAnsi="Calibri" w:cs="Calibri"/>
          <w:sz w:val="22"/>
          <w:szCs w:val="22"/>
        </w:rPr>
        <w:br/>
        <w:t>De inhouding wordt door de financiële dienst verwerkt als een ontvangst binnen het artikel ‘lonen en wedden politiek personeel’.</w:t>
      </w:r>
    </w:p>
    <w:p w14:paraId="03323CAE" w14:textId="77777777" w:rsidR="008D3F15" w:rsidRPr="008D3F15" w:rsidRDefault="008D3F15" w:rsidP="008D3F15">
      <w:pPr>
        <w:numPr>
          <w:ilvl w:val="0"/>
          <w:numId w:val="2"/>
        </w:numPr>
        <w:rPr>
          <w:rFonts w:ascii="Calibri" w:hAnsi="Calibri" w:cs="Calibri"/>
          <w:sz w:val="22"/>
          <w:szCs w:val="22"/>
        </w:rPr>
      </w:pPr>
      <w:r w:rsidRPr="008D3F15">
        <w:rPr>
          <w:rFonts w:ascii="Calibri" w:hAnsi="Calibri" w:cs="Calibri"/>
          <w:b/>
          <w:bCs/>
          <w:sz w:val="22"/>
          <w:szCs w:val="22"/>
        </w:rPr>
        <w:t>Bijsturing bij afwijkende index</w:t>
      </w:r>
      <w:r w:rsidRPr="008D3F15">
        <w:rPr>
          <w:rFonts w:ascii="Calibri" w:hAnsi="Calibri" w:cs="Calibri"/>
          <w:sz w:val="22"/>
          <w:szCs w:val="22"/>
        </w:rPr>
        <w:br/>
        <w:t>Indien de werkelijke indexatie significant afwijkt van de huidige prognoses, kan de gemeenteraad jaarlijks beslissen om de inhouding proportioneel aan te passen binnen dezelfde filosofie van matiging.</w:t>
      </w:r>
    </w:p>
    <w:p w14:paraId="394E83B4" w14:textId="77777777" w:rsidR="008D3F15" w:rsidRPr="008D3F15" w:rsidRDefault="008D3F15" w:rsidP="008D3F15">
      <w:pPr>
        <w:numPr>
          <w:ilvl w:val="0"/>
          <w:numId w:val="2"/>
        </w:numPr>
        <w:rPr>
          <w:rFonts w:ascii="Calibri" w:hAnsi="Calibri" w:cs="Calibri"/>
          <w:sz w:val="22"/>
          <w:szCs w:val="22"/>
        </w:rPr>
      </w:pPr>
      <w:r w:rsidRPr="008D3F15">
        <w:rPr>
          <w:rFonts w:ascii="Calibri" w:hAnsi="Calibri" w:cs="Calibri"/>
          <w:b/>
          <w:bCs/>
          <w:sz w:val="22"/>
          <w:szCs w:val="22"/>
        </w:rPr>
        <w:t>Inwerkingtreding</w:t>
      </w:r>
      <w:r w:rsidRPr="008D3F15">
        <w:rPr>
          <w:rFonts w:ascii="Calibri" w:hAnsi="Calibri" w:cs="Calibri"/>
          <w:sz w:val="22"/>
          <w:szCs w:val="22"/>
        </w:rPr>
        <w:br/>
        <w:t>Deze beslissing treedt in werking op 1 januari 2026.</w:t>
      </w:r>
    </w:p>
    <w:p w14:paraId="0BC96D86" w14:textId="77777777" w:rsidR="00455E26" w:rsidRPr="008D3F15" w:rsidRDefault="00455E26" w:rsidP="008D3F15">
      <w:pPr>
        <w:rPr>
          <w:rFonts w:ascii="Calibri" w:hAnsi="Calibri" w:cs="Calibri"/>
          <w:sz w:val="22"/>
          <w:szCs w:val="22"/>
        </w:rPr>
      </w:pPr>
    </w:p>
    <w:sectPr w:rsidR="00455E26" w:rsidRPr="008D3F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74513"/>
    <w:multiLevelType w:val="multilevel"/>
    <w:tmpl w:val="76EC9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317E94"/>
    <w:multiLevelType w:val="multilevel"/>
    <w:tmpl w:val="8346B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6861974">
    <w:abstractNumId w:val="0"/>
  </w:num>
  <w:num w:numId="2" w16cid:durableId="19269866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F15"/>
    <w:rsid w:val="001838C4"/>
    <w:rsid w:val="00455E26"/>
    <w:rsid w:val="00645BC1"/>
    <w:rsid w:val="008D3F15"/>
    <w:rsid w:val="00F517D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7D05F"/>
  <w15:chartTrackingRefBased/>
  <w15:docId w15:val="{BF85034F-8A6E-492B-8594-136EBEDA4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D3F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D3F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D3F1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D3F1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D3F1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D3F1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D3F1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D3F1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D3F1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D3F1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D3F1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D3F1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D3F1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D3F1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D3F1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D3F1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D3F1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D3F15"/>
    <w:rPr>
      <w:rFonts w:eastAsiaTheme="majorEastAsia" w:cstheme="majorBidi"/>
      <w:color w:val="272727" w:themeColor="text1" w:themeTint="D8"/>
    </w:rPr>
  </w:style>
  <w:style w:type="paragraph" w:styleId="Titel">
    <w:name w:val="Title"/>
    <w:basedOn w:val="Standaard"/>
    <w:next w:val="Standaard"/>
    <w:link w:val="TitelChar"/>
    <w:uiPriority w:val="10"/>
    <w:qFormat/>
    <w:rsid w:val="008D3F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D3F1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D3F1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D3F1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D3F1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D3F15"/>
    <w:rPr>
      <w:i/>
      <w:iCs/>
      <w:color w:val="404040" w:themeColor="text1" w:themeTint="BF"/>
    </w:rPr>
  </w:style>
  <w:style w:type="paragraph" w:styleId="Lijstalinea">
    <w:name w:val="List Paragraph"/>
    <w:basedOn w:val="Standaard"/>
    <w:uiPriority w:val="34"/>
    <w:qFormat/>
    <w:rsid w:val="008D3F15"/>
    <w:pPr>
      <w:ind w:left="720"/>
      <w:contextualSpacing/>
    </w:pPr>
  </w:style>
  <w:style w:type="character" w:styleId="Intensievebenadrukking">
    <w:name w:val="Intense Emphasis"/>
    <w:basedOn w:val="Standaardalinea-lettertype"/>
    <w:uiPriority w:val="21"/>
    <w:qFormat/>
    <w:rsid w:val="008D3F15"/>
    <w:rPr>
      <w:i/>
      <w:iCs/>
      <w:color w:val="0F4761" w:themeColor="accent1" w:themeShade="BF"/>
    </w:rPr>
  </w:style>
  <w:style w:type="paragraph" w:styleId="Duidelijkcitaat">
    <w:name w:val="Intense Quote"/>
    <w:basedOn w:val="Standaard"/>
    <w:next w:val="Standaard"/>
    <w:link w:val="DuidelijkcitaatChar"/>
    <w:uiPriority w:val="30"/>
    <w:qFormat/>
    <w:rsid w:val="008D3F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D3F15"/>
    <w:rPr>
      <w:i/>
      <w:iCs/>
      <w:color w:val="0F4761" w:themeColor="accent1" w:themeShade="BF"/>
    </w:rPr>
  </w:style>
  <w:style w:type="character" w:styleId="Intensieveverwijzing">
    <w:name w:val="Intense Reference"/>
    <w:basedOn w:val="Standaardalinea-lettertype"/>
    <w:uiPriority w:val="32"/>
    <w:qFormat/>
    <w:rsid w:val="008D3F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566</Words>
  <Characters>3116</Characters>
  <Application>Microsoft Office Word</Application>
  <DocSecurity>0</DocSecurity>
  <Lines>25</Lines>
  <Paragraphs>7</Paragraphs>
  <ScaleCrop>false</ScaleCrop>
  <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Verreyt</dc:creator>
  <cp:keywords/>
  <dc:description/>
  <cp:lastModifiedBy>Hans Verreyt</cp:lastModifiedBy>
  <cp:revision>2</cp:revision>
  <cp:lastPrinted>2026-01-09T17:59:00Z</cp:lastPrinted>
  <dcterms:created xsi:type="dcterms:W3CDTF">2026-01-09T17:57:00Z</dcterms:created>
  <dcterms:modified xsi:type="dcterms:W3CDTF">2026-01-09T18:03:00Z</dcterms:modified>
</cp:coreProperties>
</file>