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C08" w14:textId="77777777" w:rsidR="0038204D" w:rsidRPr="0038204D" w:rsidRDefault="0038204D" w:rsidP="00D31CBD">
      <w:pPr>
        <w:jc w:val="center"/>
        <w:rPr>
          <w:rFonts w:ascii="Times New Roman" w:hAnsi="Times New Roman" w:cs="Times New Roman"/>
          <w:b/>
          <w:bCs/>
        </w:rPr>
      </w:pPr>
      <w:r w:rsidRPr="0038204D">
        <w:rPr>
          <w:rFonts w:ascii="Times New Roman" w:hAnsi="Times New Roman" w:cs="Times New Roman"/>
          <w:b/>
          <w:bCs/>
        </w:rPr>
        <w:t>BEZWAARSCHRIFT</w:t>
      </w:r>
    </w:p>
    <w:p w14:paraId="700835A0" w14:textId="77777777" w:rsidR="00D31CBD" w:rsidRDefault="00D31CBD" w:rsidP="0038204D">
      <w:pPr>
        <w:rPr>
          <w:rFonts w:ascii="Times New Roman" w:hAnsi="Times New Roman" w:cs="Times New Roman"/>
        </w:rPr>
      </w:pPr>
    </w:p>
    <w:p w14:paraId="2168F843" w14:textId="2D27EEFD" w:rsidR="0038204D" w:rsidRPr="0038204D" w:rsidRDefault="0038204D" w:rsidP="0038204D">
      <w:pPr>
        <w:rPr>
          <w:rFonts w:ascii="Times New Roman" w:hAnsi="Times New Roman" w:cs="Times New Roman"/>
        </w:rPr>
      </w:pPr>
      <w:r w:rsidRPr="0038204D">
        <w:rPr>
          <w:rFonts w:ascii="Times New Roman" w:hAnsi="Times New Roman" w:cs="Times New Roman"/>
        </w:rPr>
        <w:t>Aan het College van burgemeester en schepenen van Beersel</w:t>
      </w:r>
      <w:r w:rsidRPr="0038204D">
        <w:rPr>
          <w:rFonts w:ascii="Times New Roman" w:hAnsi="Times New Roman" w:cs="Times New Roman"/>
        </w:rPr>
        <w:br/>
      </w:r>
    </w:p>
    <w:p w14:paraId="5308F582"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Betreft: omgevingsvergunningsaanvraag OMV_2024014144</w:t>
      </w:r>
      <w:r w:rsidRPr="0038204D">
        <w:rPr>
          <w:rFonts w:ascii="Times New Roman" w:hAnsi="Times New Roman" w:cs="Times New Roman"/>
        </w:rPr>
        <w:br/>
        <w:t>Project: oprichting woongebouw met 17 appartementen</w:t>
      </w:r>
      <w:r w:rsidRPr="0038204D">
        <w:rPr>
          <w:rFonts w:ascii="Times New Roman" w:hAnsi="Times New Roman" w:cs="Times New Roman"/>
        </w:rPr>
        <w:br/>
        <w:t>Ligging: Guido Gezellestraat 86–88, 1654 Huizingen</w:t>
      </w:r>
    </w:p>
    <w:p w14:paraId="19BF6DE5"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Geachte,</w:t>
      </w:r>
    </w:p>
    <w:p w14:paraId="5FE7B2B8" w14:textId="5098E44C" w:rsidR="0038204D" w:rsidRPr="0038204D" w:rsidRDefault="0038204D" w:rsidP="0038204D">
      <w:pPr>
        <w:rPr>
          <w:rFonts w:ascii="Times New Roman" w:hAnsi="Times New Roman" w:cs="Times New Roman"/>
        </w:rPr>
      </w:pPr>
      <w:r>
        <w:rPr>
          <w:rFonts w:ascii="Times New Roman" w:hAnsi="Times New Roman" w:cs="Times New Roman"/>
        </w:rPr>
        <w:t xml:space="preserve">Via deze weg wens ik </w:t>
      </w:r>
      <w:r w:rsidRPr="0038204D">
        <w:rPr>
          <w:rFonts w:ascii="Times New Roman" w:hAnsi="Times New Roman" w:cs="Times New Roman"/>
        </w:rPr>
        <w:t xml:space="preserve">bezwaar </w:t>
      </w:r>
      <w:r>
        <w:rPr>
          <w:rFonts w:ascii="Times New Roman" w:hAnsi="Times New Roman" w:cs="Times New Roman"/>
        </w:rPr>
        <w:t xml:space="preserve">aan te tekenen </w:t>
      </w:r>
      <w:r w:rsidRPr="0038204D">
        <w:rPr>
          <w:rFonts w:ascii="Times New Roman" w:hAnsi="Times New Roman" w:cs="Times New Roman"/>
        </w:rPr>
        <w:t>tegen de omgevingsvergunningsaanvraag OMV_2024014144 voor de realisatie van een woonproject met 17 appartementen op het perceel gelegen aan de Guido Gezellestraat 86–88 te Huizingen.</w:t>
      </w:r>
    </w:p>
    <w:p w14:paraId="56C03674" w14:textId="7BEB32F0" w:rsidR="0038204D" w:rsidRPr="0038204D" w:rsidRDefault="0038204D" w:rsidP="0038204D">
      <w:pPr>
        <w:rPr>
          <w:rFonts w:ascii="Times New Roman" w:hAnsi="Times New Roman" w:cs="Times New Roman"/>
        </w:rPr>
      </w:pPr>
      <w:r w:rsidRPr="0038204D">
        <w:rPr>
          <w:rFonts w:ascii="Times New Roman" w:hAnsi="Times New Roman" w:cs="Times New Roman"/>
        </w:rPr>
        <w:t>Dit bezwaar steunt op onderstaande juridische en ruimtelijke argumenten.</w:t>
      </w:r>
    </w:p>
    <w:p w14:paraId="3F95F0EB"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I. Planologische context van het perceel</w:t>
      </w:r>
    </w:p>
    <w:p w14:paraId="4C0BF106" w14:textId="2A377F31" w:rsidR="0038204D" w:rsidRPr="0038204D" w:rsidRDefault="0038204D" w:rsidP="0038204D">
      <w:pPr>
        <w:rPr>
          <w:rFonts w:ascii="Times New Roman" w:hAnsi="Times New Roman" w:cs="Times New Roman"/>
        </w:rPr>
      </w:pPr>
      <w:r w:rsidRPr="0038204D">
        <w:rPr>
          <w:rFonts w:ascii="Times New Roman" w:hAnsi="Times New Roman" w:cs="Times New Roman"/>
        </w:rPr>
        <w:t>Volgens het BPA “Centrum Uitbreiding” bevindt het perceel zich in een zone voor openbaar nut.</w:t>
      </w:r>
    </w:p>
    <w:p w14:paraId="012A496D"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Zones voor openbaar nut zijn volgens de stedenbouwkundige voorschriften bedoeld voor voorzieningen van openbaar belang zoals infrastructuur, pleinen, publieke voorzieningen en andere functies van algemeen belang.</w:t>
      </w:r>
    </w:p>
    <w:p w14:paraId="4E4F90B2"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voorliggende aanvraag betreft echter de realisatie van een residentieel woonproject met 17 appartementen, wat een andere functie betreft dan de bestemming voorzien in het BPA.</w:t>
      </w:r>
    </w:p>
    <w:p w14:paraId="5D6EDC0C"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De aanvraag is </w:t>
      </w:r>
      <w:proofErr w:type="gramStart"/>
      <w:r w:rsidRPr="0038204D">
        <w:rPr>
          <w:rFonts w:ascii="Times New Roman" w:hAnsi="Times New Roman" w:cs="Times New Roman"/>
        </w:rPr>
        <w:t>derhalve</w:t>
      </w:r>
      <w:proofErr w:type="gramEnd"/>
      <w:r w:rsidRPr="0038204D">
        <w:rPr>
          <w:rFonts w:ascii="Times New Roman" w:hAnsi="Times New Roman" w:cs="Times New Roman"/>
        </w:rPr>
        <w:t xml:space="preserve"> niet </w:t>
      </w:r>
      <w:proofErr w:type="gramStart"/>
      <w:r w:rsidRPr="0038204D">
        <w:rPr>
          <w:rFonts w:ascii="Times New Roman" w:hAnsi="Times New Roman" w:cs="Times New Roman"/>
        </w:rPr>
        <w:t>conform</w:t>
      </w:r>
      <w:proofErr w:type="gramEnd"/>
      <w:r w:rsidRPr="0038204D">
        <w:rPr>
          <w:rFonts w:ascii="Times New Roman" w:hAnsi="Times New Roman" w:cs="Times New Roman"/>
        </w:rPr>
        <w:t xml:space="preserve"> met de geldende stedenbouwkundige voorschriften van het BPA.</w:t>
      </w:r>
    </w:p>
    <w:p w14:paraId="00FCA66F" w14:textId="147B1A71" w:rsidR="0038204D" w:rsidRPr="0038204D" w:rsidRDefault="0038204D" w:rsidP="0038204D">
      <w:pPr>
        <w:rPr>
          <w:rFonts w:ascii="Times New Roman" w:hAnsi="Times New Roman" w:cs="Times New Roman"/>
        </w:rPr>
      </w:pPr>
    </w:p>
    <w:p w14:paraId="77899D47"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II. Afwijking van BPA op basis van artikel 4.4.9/1 VCRO</w:t>
      </w:r>
    </w:p>
    <w:p w14:paraId="7563AC65"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aanvrager beroept zich op de mogelijkheid om af te wijken van de BPA-voorschriften aangezien het BPA ouder is dan vijftien jaar.</w:t>
      </w:r>
    </w:p>
    <w:p w14:paraId="0BD990F6"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Het toepasselijke afwijkingsartikel voor </w:t>
      </w:r>
      <w:proofErr w:type="spellStart"/>
      <w:r w:rsidRPr="0038204D">
        <w:rPr>
          <w:rFonts w:ascii="Times New Roman" w:hAnsi="Times New Roman" w:cs="Times New Roman"/>
        </w:rPr>
        <w:t>BPA’s</w:t>
      </w:r>
      <w:proofErr w:type="spellEnd"/>
      <w:r w:rsidRPr="0038204D">
        <w:rPr>
          <w:rFonts w:ascii="Times New Roman" w:hAnsi="Times New Roman" w:cs="Times New Roman"/>
        </w:rPr>
        <w:t xml:space="preserve"> ouder dan vijftien jaar is artikel 4.4.9/1 van de Vlaamse Codex Ruimtelijke Ordening. Dit artikel laat toe dat de vergunningverlenende overheid onder voorwaarden kan afwijken van stedenbouwkundige voorschriften van een BPA ouder dan vijftien jaar.</w:t>
      </w:r>
    </w:p>
    <w:p w14:paraId="349AE0FE"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Deze afwijkingsmogelijkheid is </w:t>
      </w:r>
      <w:r w:rsidRPr="0038204D">
        <w:rPr>
          <w:rFonts w:ascii="Times New Roman" w:hAnsi="Times New Roman" w:cs="Times New Roman"/>
          <w:u w:val="single"/>
        </w:rPr>
        <w:t>echter geen automatisch recht</w:t>
      </w:r>
      <w:r w:rsidRPr="0038204D">
        <w:rPr>
          <w:rFonts w:ascii="Times New Roman" w:hAnsi="Times New Roman" w:cs="Times New Roman"/>
        </w:rPr>
        <w:t>, maar moet strikt worden beoordeeld.</w:t>
      </w:r>
    </w:p>
    <w:p w14:paraId="34B64FE2"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Een afwijking kan enkel worden toegestaan wanneer:</w:t>
      </w:r>
    </w:p>
    <w:p w14:paraId="51236240" w14:textId="627424A8" w:rsidR="0038204D" w:rsidRPr="0038204D" w:rsidRDefault="00D31CBD" w:rsidP="0038204D">
      <w:pPr>
        <w:numPr>
          <w:ilvl w:val="0"/>
          <w:numId w:val="16"/>
        </w:numPr>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w:t>
      </w:r>
      <w:r w:rsidR="0038204D" w:rsidRPr="0038204D">
        <w:rPr>
          <w:rFonts w:ascii="Times New Roman" w:hAnsi="Times New Roman" w:cs="Times New Roman"/>
        </w:rPr>
        <w:t>afwijking verenigbaar is met de goede ruimtelijke ordening;</w:t>
      </w:r>
    </w:p>
    <w:p w14:paraId="557D0039" w14:textId="49B7E1A9" w:rsidR="0038204D" w:rsidRPr="0038204D" w:rsidRDefault="00D31CBD" w:rsidP="0038204D">
      <w:pPr>
        <w:numPr>
          <w:ilvl w:val="0"/>
          <w:numId w:val="16"/>
        </w:numPr>
        <w:rPr>
          <w:rFonts w:ascii="Times New Roman" w:hAnsi="Times New Roman" w:cs="Times New Roman"/>
        </w:rPr>
      </w:pPr>
      <w:proofErr w:type="gramStart"/>
      <w:r>
        <w:rPr>
          <w:rFonts w:ascii="Times New Roman" w:hAnsi="Times New Roman" w:cs="Times New Roman"/>
        </w:rPr>
        <w:lastRenderedPageBreak/>
        <w:t>de</w:t>
      </w:r>
      <w:proofErr w:type="gramEnd"/>
      <w:r w:rsidR="0038204D" w:rsidRPr="0038204D">
        <w:rPr>
          <w:rFonts w:ascii="Times New Roman" w:hAnsi="Times New Roman" w:cs="Times New Roman"/>
        </w:rPr>
        <w:t xml:space="preserve"> afwijking voldoende, zorgvuldig en concreet wordt gemotiveerd;</w:t>
      </w:r>
    </w:p>
    <w:p w14:paraId="377E75C8" w14:textId="77777777" w:rsidR="0038204D" w:rsidRPr="0038204D" w:rsidRDefault="0038204D" w:rsidP="0038204D">
      <w:pPr>
        <w:numPr>
          <w:ilvl w:val="0"/>
          <w:numId w:val="16"/>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afwijking ruimtelijk proportioneel is.</w:t>
      </w:r>
    </w:p>
    <w:p w14:paraId="097942CA"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Uit de rechtspraak van de Raad voor Vergunningsbetwistingen blijkt dat wanneer een project aanzienlijk afwijkt van een geldende planologische bestemming, </w:t>
      </w:r>
      <w:r w:rsidRPr="0038204D">
        <w:rPr>
          <w:rFonts w:ascii="Times New Roman" w:hAnsi="Times New Roman" w:cs="Times New Roman"/>
          <w:u w:val="single"/>
        </w:rPr>
        <w:t>een bijzonder zware motiveringsplich</w:t>
      </w:r>
      <w:r w:rsidRPr="0038204D">
        <w:rPr>
          <w:rFonts w:ascii="Times New Roman" w:hAnsi="Times New Roman" w:cs="Times New Roman"/>
        </w:rPr>
        <w:t>t geldt.</w:t>
      </w:r>
    </w:p>
    <w:p w14:paraId="0C03FDA7"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In het voorliggende dossier</w:t>
      </w:r>
      <w:r w:rsidRPr="0038204D">
        <w:rPr>
          <w:rFonts w:ascii="Times New Roman" w:hAnsi="Times New Roman" w:cs="Times New Roman"/>
          <w:u w:val="single"/>
        </w:rPr>
        <w:t xml:space="preserve"> ontbreekt</w:t>
      </w:r>
      <w:r w:rsidRPr="0038204D">
        <w:rPr>
          <w:rFonts w:ascii="Times New Roman" w:hAnsi="Times New Roman" w:cs="Times New Roman"/>
        </w:rPr>
        <w:t xml:space="preserve"> een dergelijke overtuigende ruimtelijke motivering.</w:t>
      </w:r>
    </w:p>
    <w:p w14:paraId="1026A0F9" w14:textId="51B22AEE" w:rsidR="0038204D" w:rsidRPr="0038204D" w:rsidRDefault="0038204D" w:rsidP="0038204D">
      <w:pPr>
        <w:rPr>
          <w:rFonts w:ascii="Times New Roman" w:hAnsi="Times New Roman" w:cs="Times New Roman"/>
        </w:rPr>
      </w:pPr>
    </w:p>
    <w:p w14:paraId="34FA37DD"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III. Onvoldoende motivering voor het verlaten van de bestemming “openbaar nut”</w:t>
      </w:r>
    </w:p>
    <w:p w14:paraId="7E3DF718"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verantwoordingsnota stelt dat de afwijking gerechtvaardigd is omwille van de nood aan bijkomende (sociale) woningen en om bij te dragen aan het behalen van het Bindend Sociaal Objectief.</w:t>
      </w:r>
    </w:p>
    <w:p w14:paraId="2A3D3D72"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Deze argumentatie is echter beleidsmatig en sociaal van aard, maar vormt </w:t>
      </w:r>
      <w:r w:rsidRPr="0038204D">
        <w:rPr>
          <w:rFonts w:ascii="Times New Roman" w:hAnsi="Times New Roman" w:cs="Times New Roman"/>
          <w:u w:val="single"/>
        </w:rPr>
        <w:t>geen stedenbouwkundige/ruimtelijke motivering</w:t>
      </w:r>
      <w:r w:rsidRPr="0038204D">
        <w:rPr>
          <w:rFonts w:ascii="Times New Roman" w:hAnsi="Times New Roman" w:cs="Times New Roman"/>
        </w:rPr>
        <w:t xml:space="preserve"> voor het verlaten van een planologische bestemming. Een BSO-doelstelling kan op zich niet volstaan als ruimtelijke verantwoording om een zone voor openbaar nut volledig prijs te geven.</w:t>
      </w:r>
    </w:p>
    <w:p w14:paraId="0A6AFD48"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Het dossier toont bovendien niet aan:</w:t>
      </w:r>
    </w:p>
    <w:p w14:paraId="458375D8" w14:textId="77777777" w:rsidR="0038204D" w:rsidRPr="0038204D" w:rsidRDefault="0038204D" w:rsidP="0038204D">
      <w:pPr>
        <w:numPr>
          <w:ilvl w:val="0"/>
          <w:numId w:val="17"/>
        </w:numPr>
        <w:rPr>
          <w:rFonts w:ascii="Times New Roman" w:hAnsi="Times New Roman" w:cs="Times New Roman"/>
        </w:rPr>
      </w:pPr>
      <w:proofErr w:type="gramStart"/>
      <w:r w:rsidRPr="0038204D">
        <w:rPr>
          <w:rFonts w:ascii="Times New Roman" w:hAnsi="Times New Roman" w:cs="Times New Roman"/>
        </w:rPr>
        <w:t>waarom</w:t>
      </w:r>
      <w:proofErr w:type="gramEnd"/>
      <w:r w:rsidRPr="0038204D">
        <w:rPr>
          <w:rFonts w:ascii="Times New Roman" w:hAnsi="Times New Roman" w:cs="Times New Roman"/>
        </w:rPr>
        <w:t xml:space="preserve"> de bestemming “openbaar nut” op deze locatie niet langer relevant zou zijn;</w:t>
      </w:r>
    </w:p>
    <w:p w14:paraId="1B79B3E0" w14:textId="77777777" w:rsidR="0038204D" w:rsidRPr="0038204D" w:rsidRDefault="0038204D" w:rsidP="0038204D">
      <w:pPr>
        <w:numPr>
          <w:ilvl w:val="0"/>
          <w:numId w:val="17"/>
        </w:numPr>
        <w:rPr>
          <w:rFonts w:ascii="Times New Roman" w:hAnsi="Times New Roman" w:cs="Times New Roman"/>
        </w:rPr>
      </w:pPr>
      <w:proofErr w:type="gramStart"/>
      <w:r w:rsidRPr="0038204D">
        <w:rPr>
          <w:rFonts w:ascii="Times New Roman" w:hAnsi="Times New Roman" w:cs="Times New Roman"/>
        </w:rPr>
        <w:t>waarom</w:t>
      </w:r>
      <w:proofErr w:type="gramEnd"/>
      <w:r w:rsidRPr="0038204D">
        <w:rPr>
          <w:rFonts w:ascii="Times New Roman" w:hAnsi="Times New Roman" w:cs="Times New Roman"/>
        </w:rPr>
        <w:t xml:space="preserve"> een residentiële invulling ruimtelijk beter zou zijn dan de bestemming voorzien in het BPA;</w:t>
      </w:r>
    </w:p>
    <w:p w14:paraId="26F665ED" w14:textId="77777777" w:rsidR="0038204D" w:rsidRPr="0038204D" w:rsidRDefault="0038204D" w:rsidP="0038204D">
      <w:pPr>
        <w:numPr>
          <w:ilvl w:val="0"/>
          <w:numId w:val="17"/>
        </w:numPr>
        <w:rPr>
          <w:rFonts w:ascii="Times New Roman" w:hAnsi="Times New Roman" w:cs="Times New Roman"/>
        </w:rPr>
      </w:pPr>
      <w:proofErr w:type="gramStart"/>
      <w:r w:rsidRPr="0038204D">
        <w:rPr>
          <w:rFonts w:ascii="Times New Roman" w:hAnsi="Times New Roman" w:cs="Times New Roman"/>
        </w:rPr>
        <w:t>waarom</w:t>
      </w:r>
      <w:proofErr w:type="gramEnd"/>
      <w:r w:rsidRPr="0038204D">
        <w:rPr>
          <w:rFonts w:ascii="Times New Roman" w:hAnsi="Times New Roman" w:cs="Times New Roman"/>
        </w:rPr>
        <w:t xml:space="preserve"> het bestemmingsvoorschrift “openbaar nut” hier achterhaald zou zijn en waarom een afwijkende bestemming ruimtelijk de betere keuze is.</w:t>
      </w:r>
    </w:p>
    <w:p w14:paraId="55B10EDC" w14:textId="05BE9873" w:rsidR="0038204D" w:rsidRDefault="0038204D" w:rsidP="0038204D">
      <w:pPr>
        <w:rPr>
          <w:rFonts w:ascii="Times New Roman" w:hAnsi="Times New Roman" w:cs="Times New Roman"/>
        </w:rPr>
      </w:pPr>
      <w:r w:rsidRPr="0038204D">
        <w:rPr>
          <w:rFonts w:ascii="Times New Roman" w:hAnsi="Times New Roman" w:cs="Times New Roman"/>
        </w:rPr>
        <w:t xml:space="preserve">Integendeel: uit reacties van omwonenden blijkt dat de vraag naar een pleinfunctie of gemeenschapsgerichte invulling in deze omgeving nog steeds </w:t>
      </w:r>
      <w:r w:rsidR="002819B9">
        <w:rPr>
          <w:rFonts w:ascii="Times New Roman" w:hAnsi="Times New Roman" w:cs="Times New Roman"/>
        </w:rPr>
        <w:t xml:space="preserve">zeer </w:t>
      </w:r>
      <w:r w:rsidRPr="0038204D">
        <w:rPr>
          <w:rFonts w:ascii="Times New Roman" w:hAnsi="Times New Roman" w:cs="Times New Roman"/>
        </w:rPr>
        <w:t>actueel is. De aanvraag onderzoekt onvoldoende waarom deze behoefte geen rol (meer) zou spelen in de ruimtelijke afweging.</w:t>
      </w:r>
    </w:p>
    <w:p w14:paraId="24F387E7" w14:textId="77777777" w:rsidR="00D31CBD" w:rsidRPr="0038204D" w:rsidRDefault="00D31CBD" w:rsidP="0038204D">
      <w:pPr>
        <w:rPr>
          <w:rFonts w:ascii="Times New Roman" w:hAnsi="Times New Roman" w:cs="Times New Roman"/>
        </w:rPr>
      </w:pPr>
    </w:p>
    <w:p w14:paraId="3CAA0D6C"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IV. Disproportionele afwijking van de toegelaten dichtheid</w:t>
      </w:r>
    </w:p>
    <w:p w14:paraId="62D1B615"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verantwoordingsnota stelt dat op basis van de geldende dichtheidsnormen op het perceel normaal slechts ongeveer 4 woningen kunnen worden gerealiseerd en dat bij een hogere dichtheid maximaal ongeveer 6 woningen mogelijk zouden zijn.</w:t>
      </w:r>
    </w:p>
    <w:p w14:paraId="22433945"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aanvraag voorziet echter 17 woongelegenheden.</w:t>
      </w:r>
    </w:p>
    <w:p w14:paraId="07F8C64A"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Dit betekent dat de aanvraag een afwijking inhoudt die bijna </w:t>
      </w:r>
      <w:proofErr w:type="gramStart"/>
      <w:r w:rsidRPr="0038204D">
        <w:rPr>
          <w:rFonts w:ascii="Times New Roman" w:hAnsi="Times New Roman" w:cs="Times New Roman"/>
          <w:u w:val="single"/>
        </w:rPr>
        <w:t>drie maal</w:t>
      </w:r>
      <w:proofErr w:type="gramEnd"/>
      <w:r w:rsidRPr="0038204D">
        <w:rPr>
          <w:rFonts w:ascii="Times New Roman" w:hAnsi="Times New Roman" w:cs="Times New Roman"/>
          <w:u w:val="single"/>
        </w:rPr>
        <w:t xml:space="preserve"> hoger</w:t>
      </w:r>
      <w:r w:rsidRPr="0038204D">
        <w:rPr>
          <w:rFonts w:ascii="Times New Roman" w:hAnsi="Times New Roman" w:cs="Times New Roman"/>
        </w:rPr>
        <w:t xml:space="preserve"> ligt dan de maximale dichtheid die volgens de eigen analyse van de aanvrager mogelijk zou zijn.</w:t>
      </w:r>
    </w:p>
    <w:p w14:paraId="6DDBBD87"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lastRenderedPageBreak/>
        <w:t xml:space="preserve">Bovendien blijkt uit een vergelijking met de omgeving dat de hoogste woondichtheid in de buurt </w:t>
      </w:r>
      <w:proofErr w:type="gramStart"/>
      <w:r w:rsidRPr="0038204D">
        <w:rPr>
          <w:rFonts w:ascii="Times New Roman" w:hAnsi="Times New Roman" w:cs="Times New Roman"/>
        </w:rPr>
        <w:t>circa</w:t>
      </w:r>
      <w:proofErr w:type="gramEnd"/>
      <w:r w:rsidRPr="0038204D">
        <w:rPr>
          <w:rFonts w:ascii="Times New Roman" w:hAnsi="Times New Roman" w:cs="Times New Roman"/>
        </w:rPr>
        <w:t xml:space="preserve"> 60 woningen/ha bedraagt, terwijl de aanvraag ongeveer 150 woningen/ha voorziet. Dit is een uitzonderlijke sprong die zwaar ruimtelijk moet worden verantwoord. Die verantwoording ontbreekt.</w:t>
      </w:r>
    </w:p>
    <w:p w14:paraId="2202CA2C"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Hoewel bepaalde verordeningen </w:t>
      </w:r>
      <w:proofErr w:type="gramStart"/>
      <w:r w:rsidRPr="0038204D">
        <w:rPr>
          <w:rFonts w:ascii="Times New Roman" w:hAnsi="Times New Roman" w:cs="Times New Roman"/>
        </w:rPr>
        <w:t>inzake</w:t>
      </w:r>
      <w:proofErr w:type="gramEnd"/>
      <w:r w:rsidRPr="0038204D">
        <w:rPr>
          <w:rFonts w:ascii="Times New Roman" w:hAnsi="Times New Roman" w:cs="Times New Roman"/>
        </w:rPr>
        <w:t xml:space="preserve"> leefbaarheid en woonkwaliteit niet of niet volledig van toepassing zouden zijn op sociale woningbouw, kan dit geen vrijgeleide zijn om een overschrijding van deze omvang toe te staan. Een dergelijke ongelijke behandeling, waarbij een sociale woonmaatschappij uitzonderingen van deze grootteorde krijgt terwijl “gewone” inwoners aan strikte normen moeten voldoen, raakt aan het beginsel van behoorlijk bestuur en aan elementaire rechtsgelijkheid in de ruimtelijke ordening.</w:t>
      </w:r>
    </w:p>
    <w:p w14:paraId="6012C3A3"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verantwoordingsnota verwijst vooral naar:</w:t>
      </w:r>
    </w:p>
    <w:p w14:paraId="4AE83342" w14:textId="77777777" w:rsidR="0038204D" w:rsidRPr="0038204D" w:rsidRDefault="0038204D" w:rsidP="0038204D">
      <w:pPr>
        <w:numPr>
          <w:ilvl w:val="0"/>
          <w:numId w:val="18"/>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nood aan sociale woningen;</w:t>
      </w:r>
    </w:p>
    <w:p w14:paraId="49034C29" w14:textId="77777777" w:rsidR="0038204D" w:rsidRPr="0038204D" w:rsidRDefault="0038204D" w:rsidP="0038204D">
      <w:pPr>
        <w:numPr>
          <w:ilvl w:val="0"/>
          <w:numId w:val="18"/>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financiële haalbaarheid van het project;</w:t>
      </w:r>
    </w:p>
    <w:p w14:paraId="1E8D8AED" w14:textId="77777777" w:rsidR="0038204D" w:rsidRPr="0038204D" w:rsidRDefault="0038204D" w:rsidP="0038204D">
      <w:pPr>
        <w:numPr>
          <w:ilvl w:val="0"/>
          <w:numId w:val="18"/>
        </w:numPr>
        <w:rPr>
          <w:rFonts w:ascii="Times New Roman" w:hAnsi="Times New Roman" w:cs="Times New Roman"/>
        </w:rPr>
      </w:pPr>
      <w:proofErr w:type="gramStart"/>
      <w:r w:rsidRPr="0038204D">
        <w:rPr>
          <w:rFonts w:ascii="Times New Roman" w:hAnsi="Times New Roman" w:cs="Times New Roman"/>
        </w:rPr>
        <w:t>beleidsdoelstellingen</w:t>
      </w:r>
      <w:proofErr w:type="gramEnd"/>
      <w:r w:rsidRPr="0038204D">
        <w:rPr>
          <w:rFonts w:ascii="Times New Roman" w:hAnsi="Times New Roman" w:cs="Times New Roman"/>
        </w:rPr>
        <w:t xml:space="preserve"> </w:t>
      </w:r>
      <w:proofErr w:type="gramStart"/>
      <w:r w:rsidRPr="0038204D">
        <w:rPr>
          <w:rFonts w:ascii="Times New Roman" w:hAnsi="Times New Roman" w:cs="Times New Roman"/>
        </w:rPr>
        <w:t>inzake</w:t>
      </w:r>
      <w:proofErr w:type="gramEnd"/>
      <w:r w:rsidRPr="0038204D">
        <w:rPr>
          <w:rFonts w:ascii="Times New Roman" w:hAnsi="Times New Roman" w:cs="Times New Roman"/>
        </w:rPr>
        <w:t xml:space="preserve"> sociaal wonen.</w:t>
      </w:r>
    </w:p>
    <w:p w14:paraId="37176B42"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Dit zijn echter </w:t>
      </w:r>
      <w:r w:rsidRPr="0038204D">
        <w:rPr>
          <w:rFonts w:ascii="Times New Roman" w:hAnsi="Times New Roman" w:cs="Times New Roman"/>
          <w:u w:val="single"/>
        </w:rPr>
        <w:t>geen ruimtelijke argumenten</w:t>
      </w:r>
      <w:r w:rsidRPr="0038204D">
        <w:rPr>
          <w:rFonts w:ascii="Times New Roman" w:hAnsi="Times New Roman" w:cs="Times New Roman"/>
        </w:rPr>
        <w:t xml:space="preserve"> die een dergelijke afwijking van dichtheidsnormen kunnen rechtvaardigen.</w:t>
      </w:r>
    </w:p>
    <w:p w14:paraId="187A8F8E" w14:textId="33C5032E" w:rsidR="0038204D" w:rsidRPr="0038204D" w:rsidRDefault="0038204D" w:rsidP="0038204D">
      <w:pPr>
        <w:rPr>
          <w:rFonts w:ascii="Times New Roman" w:hAnsi="Times New Roman" w:cs="Times New Roman"/>
        </w:rPr>
      </w:pPr>
    </w:p>
    <w:p w14:paraId="30E2067D"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V. Onvoldoende ruimtelijke onderbouwing van het bouwvolume en schaalbreuk</w:t>
      </w:r>
    </w:p>
    <w:p w14:paraId="6A1FC352"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Het project voorziet een gebouw met drie volwaardige bouwlagen en een teruggetrokken bouwlaag. Hoewel wordt gesteld dat deze teruggetrokken bouwlaag visueel minder massief zou zijn, blijft het feit dat het gebouw effectief vier niveaus omvat waarin woongelegenheden worden voorzien.</w:t>
      </w:r>
    </w:p>
    <w:p w14:paraId="5F951FCA"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Het project heeft daardoor een aanzienlijk bouwvolume, terwijl de onmiddellijke omgeving wordt gekenmerkt door een overwegend kleinschalige woonbebouwing. Het voorziene bouwvolume wijkt hierdoor duidelijk af van het bestaande bebouwingspatroon.</w:t>
      </w:r>
    </w:p>
    <w:p w14:paraId="76F18403"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Volgens de rechtspraak van de Raad voor Vergunningsbetwistingen moet een project zich harmonieus inpassen in de omgeving en mag het geen schaalbreuk veroorzaken. Het dossier toont onvoldoende aan dat het project zich op een aanvaardbare wijze inpast in de bestaande ruimtelijke structuur.</w:t>
      </w:r>
    </w:p>
    <w:p w14:paraId="2A625C0E" w14:textId="2817C6DE" w:rsidR="0038204D" w:rsidRPr="0038204D" w:rsidRDefault="0038204D" w:rsidP="0038204D">
      <w:pPr>
        <w:rPr>
          <w:rFonts w:ascii="Times New Roman" w:hAnsi="Times New Roman" w:cs="Times New Roman"/>
        </w:rPr>
      </w:pPr>
    </w:p>
    <w:p w14:paraId="1A724D65"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 xml:space="preserve">VI. Onvolledige en onjuiste redenering </w:t>
      </w:r>
      <w:proofErr w:type="gramStart"/>
      <w:r w:rsidRPr="0038204D">
        <w:rPr>
          <w:rFonts w:ascii="Times New Roman" w:hAnsi="Times New Roman" w:cs="Times New Roman"/>
          <w:u w:val="single"/>
        </w:rPr>
        <w:t>inzake</w:t>
      </w:r>
      <w:proofErr w:type="gramEnd"/>
      <w:r w:rsidRPr="0038204D">
        <w:rPr>
          <w:rFonts w:ascii="Times New Roman" w:hAnsi="Times New Roman" w:cs="Times New Roman"/>
          <w:u w:val="single"/>
        </w:rPr>
        <w:t xml:space="preserve"> PRUP “Kernafbakening” en blijvende gelding BPA-bestemming</w:t>
      </w:r>
    </w:p>
    <w:p w14:paraId="2E0FDA08"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aanvraag verwijst naar het PRUP “Kernafbakening” om – na afwijking van het BPA – een bouwvolume met 3 bouwlagen (+ dak) te verantwoorden.</w:t>
      </w:r>
    </w:p>
    <w:p w14:paraId="312C438B"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Daarbij wordt echter onvoldoende rekening gehouden met de voorwaarden uit het PRUP, waaruit volgt dat een dergelijk bouwvolume enkel kan wanneer het project past in de </w:t>
      </w:r>
      <w:r w:rsidRPr="0038204D">
        <w:rPr>
          <w:rFonts w:ascii="Times New Roman" w:hAnsi="Times New Roman" w:cs="Times New Roman"/>
        </w:rPr>
        <w:lastRenderedPageBreak/>
        <w:t>omgeving en wanneer visueel-vormelijke en cultuurhistorische kenmerken worden afgetoetst. Deze toetsing ontbreekt in de aanvraag of blijft louter algemeen; er wordt voornamelijk verwezen naar het volume als “nodig” voor 17 appartementen in functie van beleidsdoelstellingen.</w:t>
      </w:r>
    </w:p>
    <w:p w14:paraId="0A27EEC9"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Daarnaast stelt het PRUP expliciet dat het gaat om een overdruk en dat de bestemmingen uit geldende </w:t>
      </w:r>
      <w:proofErr w:type="spellStart"/>
      <w:r w:rsidRPr="0038204D">
        <w:rPr>
          <w:rFonts w:ascii="Times New Roman" w:hAnsi="Times New Roman" w:cs="Times New Roman"/>
        </w:rPr>
        <w:t>BPA’s</w:t>
      </w:r>
      <w:proofErr w:type="spellEnd"/>
      <w:r w:rsidRPr="0038204D">
        <w:rPr>
          <w:rFonts w:ascii="Times New Roman" w:hAnsi="Times New Roman" w:cs="Times New Roman"/>
        </w:rPr>
        <w:t xml:space="preserve"> in beginsel van toepassing blijven. Het argument dat de ligging in centrumgebied volgens het PRUP op zich een reden voor afwijking zou zijn, kan daarom niet worden aanvaard. De aanvraag motiveert onvoldoende waarom de BPA-bestemming “openbaar nut” in dit concrete geval terzijde kan worden geschoven.</w:t>
      </w:r>
    </w:p>
    <w:p w14:paraId="39004CD8" w14:textId="3334ED3E" w:rsidR="0038204D" w:rsidRPr="0038204D" w:rsidRDefault="0038204D" w:rsidP="0038204D">
      <w:pPr>
        <w:rPr>
          <w:rFonts w:ascii="Times New Roman" w:hAnsi="Times New Roman" w:cs="Times New Roman"/>
          <w:u w:val="single"/>
        </w:rPr>
      </w:pPr>
    </w:p>
    <w:p w14:paraId="5B90BA4E"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VII. Onvoldoende mobiliteitsanalyse en gemiste kans voor verkeersveiligheid</w:t>
      </w:r>
    </w:p>
    <w:p w14:paraId="5A48393F"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In de mobiliteitsnota wordt gesteld dat geen mobiliteitstoets of MOBER vereist is en dat het project slechts een beperkte verkeersimpact zal hebben.</w:t>
      </w:r>
    </w:p>
    <w:p w14:paraId="1FC909D8"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Hoewel de wettelijke drempels voor een MOBER mogelijk niet worden overschreden, ontslaat dit de aanvrager niet van de verplichting om de mobiliteitsimpact grondig te analyseren. De huidige mobiliteitsanalyse lijkt bijzonder summier.</w:t>
      </w:r>
    </w:p>
    <w:p w14:paraId="7E8B62C8"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Zo wordt onder meer onvoldoende onderzocht:</w:t>
      </w:r>
    </w:p>
    <w:p w14:paraId="44597F27" w14:textId="77777777" w:rsidR="0038204D" w:rsidRPr="0038204D" w:rsidRDefault="0038204D" w:rsidP="0038204D">
      <w:pPr>
        <w:numPr>
          <w:ilvl w:val="0"/>
          <w:numId w:val="19"/>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impact op de parkeerdruk in de omgeving;</w:t>
      </w:r>
    </w:p>
    <w:p w14:paraId="386FD59B" w14:textId="77777777" w:rsidR="0038204D" w:rsidRPr="0038204D" w:rsidRDefault="0038204D" w:rsidP="0038204D">
      <w:pPr>
        <w:numPr>
          <w:ilvl w:val="0"/>
          <w:numId w:val="19"/>
        </w:numPr>
        <w:rPr>
          <w:rFonts w:ascii="Times New Roman" w:hAnsi="Times New Roman" w:cs="Times New Roman"/>
        </w:rPr>
      </w:pPr>
      <w:proofErr w:type="gramStart"/>
      <w:r w:rsidRPr="0038204D">
        <w:rPr>
          <w:rFonts w:ascii="Times New Roman" w:hAnsi="Times New Roman" w:cs="Times New Roman"/>
        </w:rPr>
        <w:t>bezoekersverkeer</w:t>
      </w:r>
      <w:proofErr w:type="gramEnd"/>
      <w:r w:rsidRPr="0038204D">
        <w:rPr>
          <w:rFonts w:ascii="Times New Roman" w:hAnsi="Times New Roman" w:cs="Times New Roman"/>
        </w:rPr>
        <w:t>;</w:t>
      </w:r>
    </w:p>
    <w:p w14:paraId="35627E5D" w14:textId="77777777" w:rsidR="0038204D" w:rsidRPr="0038204D" w:rsidRDefault="0038204D" w:rsidP="0038204D">
      <w:pPr>
        <w:numPr>
          <w:ilvl w:val="0"/>
          <w:numId w:val="19"/>
        </w:numPr>
        <w:rPr>
          <w:rFonts w:ascii="Times New Roman" w:hAnsi="Times New Roman" w:cs="Times New Roman"/>
        </w:rPr>
      </w:pPr>
      <w:proofErr w:type="gramStart"/>
      <w:r w:rsidRPr="0038204D">
        <w:rPr>
          <w:rFonts w:ascii="Times New Roman" w:hAnsi="Times New Roman" w:cs="Times New Roman"/>
        </w:rPr>
        <w:t>cumulatieve</w:t>
      </w:r>
      <w:proofErr w:type="gramEnd"/>
      <w:r w:rsidRPr="0038204D">
        <w:rPr>
          <w:rFonts w:ascii="Times New Roman" w:hAnsi="Times New Roman" w:cs="Times New Roman"/>
        </w:rPr>
        <w:t xml:space="preserve"> effecten met andere ontwikkelingen in de buurt.</w:t>
      </w:r>
    </w:p>
    <w:p w14:paraId="1E969492"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Bijkomend is er een concreet verkeersveiligheidsprobleem: het voetpad langs de Guido Gezellestraat is ter hoogte van de spoorwegbrug bijzonder smal. Het project voorziet het nieuwe volume op </w:t>
      </w:r>
      <w:proofErr w:type="gramStart"/>
      <w:r w:rsidRPr="0038204D">
        <w:rPr>
          <w:rFonts w:ascii="Times New Roman" w:hAnsi="Times New Roman" w:cs="Times New Roman"/>
        </w:rPr>
        <w:t>circa</w:t>
      </w:r>
      <w:proofErr w:type="gramEnd"/>
      <w:r w:rsidRPr="0038204D">
        <w:rPr>
          <w:rFonts w:ascii="Times New Roman" w:hAnsi="Times New Roman" w:cs="Times New Roman"/>
        </w:rPr>
        <w:t xml:space="preserve"> 2 meter achter de rooilijn. Dit biedt net een opportuniteit om het voetpad te verbreden en de omgeving veiliger in te richten. Een dergelijke herinrichting zou onlosmakelijk verbonden moeten zijn aan het project en minstens als voorwaarde of last moeten worden opgelegd. Dit wordt in de aanvraag onvoldoende meegenomen.</w:t>
      </w:r>
    </w:p>
    <w:p w14:paraId="11CE7644" w14:textId="107E3F04" w:rsidR="0038204D" w:rsidRPr="0038204D" w:rsidRDefault="0038204D" w:rsidP="0038204D">
      <w:pPr>
        <w:rPr>
          <w:rFonts w:ascii="Times New Roman" w:hAnsi="Times New Roman" w:cs="Times New Roman"/>
        </w:rPr>
      </w:pPr>
    </w:p>
    <w:p w14:paraId="389BBE49" w14:textId="00CAFAE2"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VIII. Onvoldoende buitenruimte en negatieve impact op leefbaarheid</w:t>
      </w:r>
    </w:p>
    <w:p w14:paraId="49DFB71C"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De projectopzet lijkt voornamelijk gericht op gezinnen, aangezien er slechts enkele appartementen met één slaapkamer zijn. Tegelijk wordt bij de woongelegenheden slechts een privaat terras van </w:t>
      </w:r>
      <w:proofErr w:type="gramStart"/>
      <w:r w:rsidRPr="0038204D">
        <w:rPr>
          <w:rFonts w:ascii="Times New Roman" w:hAnsi="Times New Roman" w:cs="Times New Roman"/>
        </w:rPr>
        <w:t>circa</w:t>
      </w:r>
      <w:proofErr w:type="gramEnd"/>
      <w:r w:rsidRPr="0038204D">
        <w:rPr>
          <w:rFonts w:ascii="Times New Roman" w:hAnsi="Times New Roman" w:cs="Times New Roman"/>
        </w:rPr>
        <w:t xml:space="preserve"> 6 m² voorzien en is er zo goed als geen gemeenschappelijke buitenruimte op eigen terrein.</w:t>
      </w:r>
    </w:p>
    <w:p w14:paraId="268076AE"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In de praktijk betekent dit dat kinderen en jongeren weinig tot geen veilige, kwalitatieve speel- of verblijfsruimte hebben op de site zelf en “uitwijken” naar omliggende straten of de buurt om te spelen of te verblijven. Dit kan de leefbaarheid en de ruimtelijke draagkracht van </w:t>
      </w:r>
      <w:r w:rsidRPr="0038204D">
        <w:rPr>
          <w:rFonts w:ascii="Times New Roman" w:hAnsi="Times New Roman" w:cs="Times New Roman"/>
        </w:rPr>
        <w:lastRenderedPageBreak/>
        <w:t>de omgeving bijkomend onder druk zetten. De aanvraag onderzoekt deze leefbaarheidsimpact onvoldoende.</w:t>
      </w:r>
    </w:p>
    <w:p w14:paraId="56B29910"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IX. Afvalbeheer en netheid openbare ruimte: ontoereikend en onaanvaardbaar</w:t>
      </w:r>
    </w:p>
    <w:p w14:paraId="1CA6EA75"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beschrijvende nota vermeldt dat toekomstige bewoners niet kunnen of willen sorteren en dat op de eigendom geen plaats zou zijn voor een sorteerstraat. Dit kan niet aanvaard worden.</w:t>
      </w:r>
    </w:p>
    <w:p w14:paraId="4A7D56B5"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Het kan niet de bedoeling zijn dat er bij een project van deze omvang (17 appartementen) geen volwaardige oplossing wordt voorzien, met als gevolg dat er potentieel grote hoeveelheden afvalzakken op of langs het voetpad terechtkomen. Bovendien blijkt dat er geen (of onvoldoende) gemeenschappelijke afvalberging wordt voorzien, waardoor bewoners afval op private terrassen zouden moeten stockeren, wat nefast is voor het straatbeeld en de hygiëne.</w:t>
      </w:r>
    </w:p>
    <w:p w14:paraId="45742D2E" w14:textId="766058BF" w:rsidR="0038204D" w:rsidRPr="0038204D" w:rsidRDefault="0038204D" w:rsidP="0038204D">
      <w:pPr>
        <w:rPr>
          <w:rFonts w:ascii="Times New Roman" w:hAnsi="Times New Roman" w:cs="Times New Roman"/>
        </w:rPr>
      </w:pPr>
      <w:proofErr w:type="gramStart"/>
      <w:r w:rsidRPr="0038204D">
        <w:rPr>
          <w:rFonts w:ascii="Times New Roman" w:hAnsi="Times New Roman" w:cs="Times New Roman"/>
        </w:rPr>
        <w:t>Indien</w:t>
      </w:r>
      <w:proofErr w:type="gramEnd"/>
      <w:r w:rsidRPr="0038204D">
        <w:rPr>
          <w:rFonts w:ascii="Times New Roman" w:hAnsi="Times New Roman" w:cs="Times New Roman"/>
        </w:rPr>
        <w:t xml:space="preserve"> het lokaal bestuur (zoals aangekondigd) in de nabije toekomst</w:t>
      </w:r>
      <w:r w:rsidR="00304908">
        <w:rPr>
          <w:rFonts w:ascii="Times New Roman" w:hAnsi="Times New Roman" w:cs="Times New Roman"/>
        </w:rPr>
        <w:t xml:space="preserve"> (2028)</w:t>
      </w:r>
      <w:r w:rsidRPr="0038204D">
        <w:rPr>
          <w:rFonts w:ascii="Times New Roman" w:hAnsi="Times New Roman" w:cs="Times New Roman"/>
        </w:rPr>
        <w:t xml:space="preserve"> overschakelt naar inzameling met afvalbakken of containers, moet in het project ook daarvoor ruimte en een correcte opstelling worden voorzien. </w:t>
      </w:r>
      <w:r w:rsidRPr="0038204D">
        <w:rPr>
          <w:rFonts w:ascii="Times New Roman" w:hAnsi="Times New Roman" w:cs="Times New Roman"/>
          <w:u w:val="single"/>
        </w:rPr>
        <w:t>De aanvraag toont niet aan dat dit mogelijk is.</w:t>
      </w:r>
    </w:p>
    <w:p w14:paraId="14F605DF" w14:textId="624AD00B" w:rsidR="0038204D" w:rsidRPr="0038204D" w:rsidRDefault="0038204D" w:rsidP="0038204D">
      <w:pPr>
        <w:rPr>
          <w:rFonts w:ascii="Times New Roman" w:hAnsi="Times New Roman" w:cs="Times New Roman"/>
        </w:rPr>
      </w:pPr>
    </w:p>
    <w:p w14:paraId="3D4BEC6A"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X. Onvoldoende onderzoek naar alternatieve invullingen en combinatiemogelijkheden “openbaar nut”</w:t>
      </w:r>
    </w:p>
    <w:p w14:paraId="24B98563"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Gelet op de oorspronkelijke bestemming als zone voor openbaar nut had het voor de hand gelegen om te onderzoeken of het perceel nog (deels) een rol kan spelen in het voorzien van publieke functies.</w:t>
      </w:r>
    </w:p>
    <w:p w14:paraId="7C3EE97F"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aanvraag legt de voorschriften van gemeenschapsvoorzieningen en openbaar nut in de praktijk volledig naast zich neer, zonder ernstig onderzoek naar combinatiemogelijkheden (bijvoorbeeld een kleinschaliger woonproject mét geïntegreerde publieke functie/pleinfunctie of gemeenschapsvoorziening). Net zo’n combinatie kan toelaten:</w:t>
      </w:r>
    </w:p>
    <w:p w14:paraId="1490B8BB" w14:textId="77777777" w:rsidR="0038204D" w:rsidRPr="0038204D" w:rsidRDefault="0038204D" w:rsidP="0038204D">
      <w:pPr>
        <w:numPr>
          <w:ilvl w:val="0"/>
          <w:numId w:val="20"/>
        </w:numPr>
        <w:rPr>
          <w:rFonts w:ascii="Times New Roman" w:hAnsi="Times New Roman" w:cs="Times New Roman"/>
        </w:rPr>
      </w:pPr>
      <w:proofErr w:type="gramStart"/>
      <w:r w:rsidRPr="0038204D">
        <w:rPr>
          <w:rFonts w:ascii="Times New Roman" w:hAnsi="Times New Roman" w:cs="Times New Roman"/>
        </w:rPr>
        <w:t>een</w:t>
      </w:r>
      <w:proofErr w:type="gramEnd"/>
      <w:r w:rsidRPr="0038204D">
        <w:rPr>
          <w:rFonts w:ascii="Times New Roman" w:hAnsi="Times New Roman" w:cs="Times New Roman"/>
        </w:rPr>
        <w:t xml:space="preserve"> kleinschaliger en beter inpasbaar woonproject te realiseren; én</w:t>
      </w:r>
    </w:p>
    <w:p w14:paraId="0F0BA0B3" w14:textId="77777777" w:rsidR="0038204D" w:rsidRPr="0038204D" w:rsidRDefault="0038204D" w:rsidP="0038204D">
      <w:pPr>
        <w:numPr>
          <w:ilvl w:val="0"/>
          <w:numId w:val="20"/>
        </w:numPr>
        <w:rPr>
          <w:rFonts w:ascii="Times New Roman" w:hAnsi="Times New Roman" w:cs="Times New Roman"/>
        </w:rPr>
      </w:pPr>
      <w:proofErr w:type="gramStart"/>
      <w:r w:rsidRPr="0038204D">
        <w:rPr>
          <w:rFonts w:ascii="Times New Roman" w:hAnsi="Times New Roman" w:cs="Times New Roman"/>
        </w:rPr>
        <w:t>tegelijk</w:t>
      </w:r>
      <w:proofErr w:type="gramEnd"/>
      <w:r w:rsidRPr="0038204D">
        <w:rPr>
          <w:rFonts w:ascii="Times New Roman" w:hAnsi="Times New Roman" w:cs="Times New Roman"/>
        </w:rPr>
        <w:t xml:space="preserve"> iets terug te geven aan de maatschappij, </w:t>
      </w:r>
      <w:proofErr w:type="gramStart"/>
      <w:r w:rsidRPr="0038204D">
        <w:rPr>
          <w:rFonts w:ascii="Times New Roman" w:hAnsi="Times New Roman" w:cs="Times New Roman"/>
        </w:rPr>
        <w:t>conform</w:t>
      </w:r>
      <w:proofErr w:type="gramEnd"/>
      <w:r w:rsidRPr="0038204D">
        <w:rPr>
          <w:rFonts w:ascii="Times New Roman" w:hAnsi="Times New Roman" w:cs="Times New Roman"/>
        </w:rPr>
        <w:t xml:space="preserve"> de bestemming “openbaar nut”.</w:t>
      </w:r>
    </w:p>
    <w:p w14:paraId="4C20A06F"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Het dossier toont niet aan dat deze mogelijkheid werd onderzocht of afgewogen.</w:t>
      </w:r>
    </w:p>
    <w:p w14:paraId="1AB79F03" w14:textId="6B1C2538" w:rsidR="0038204D" w:rsidRPr="0038204D" w:rsidRDefault="0038204D" w:rsidP="0038204D">
      <w:pPr>
        <w:rPr>
          <w:rFonts w:ascii="Times New Roman" w:hAnsi="Times New Roman" w:cs="Times New Roman"/>
        </w:rPr>
      </w:pPr>
    </w:p>
    <w:p w14:paraId="115C0405"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XI. Procedurele aandachtspunten</w:t>
      </w:r>
    </w:p>
    <w:p w14:paraId="1212E3B3"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Uit de dossierstukken blijkt dat het project </w:t>
      </w:r>
      <w:proofErr w:type="gramStart"/>
      <w:r w:rsidRPr="0038204D">
        <w:rPr>
          <w:rFonts w:ascii="Times New Roman" w:hAnsi="Times New Roman" w:cs="Times New Roman"/>
        </w:rPr>
        <w:t>reeds</w:t>
      </w:r>
      <w:proofErr w:type="gramEnd"/>
      <w:r w:rsidRPr="0038204D">
        <w:rPr>
          <w:rFonts w:ascii="Times New Roman" w:hAnsi="Times New Roman" w:cs="Times New Roman"/>
        </w:rPr>
        <w:t xml:space="preserve"> werd besproken binnen het lokaal woonoverleg en dat het college eerder naar het project heeft verwezen in een collegebesluit.</w:t>
      </w:r>
    </w:p>
    <w:p w14:paraId="79B6001F"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 xml:space="preserve">Hierdoor kan de indruk ontstaan dat de gemeente </w:t>
      </w:r>
      <w:proofErr w:type="gramStart"/>
      <w:r w:rsidRPr="0038204D">
        <w:rPr>
          <w:rFonts w:ascii="Times New Roman" w:hAnsi="Times New Roman" w:cs="Times New Roman"/>
        </w:rPr>
        <w:t>reeds</w:t>
      </w:r>
      <w:proofErr w:type="gramEnd"/>
      <w:r w:rsidRPr="0038204D">
        <w:rPr>
          <w:rFonts w:ascii="Times New Roman" w:hAnsi="Times New Roman" w:cs="Times New Roman"/>
        </w:rPr>
        <w:t xml:space="preserve"> inhoudelijk betrokken was bij de ontwikkeling van het project vóór de formele beoordeling van de vergunning.</w:t>
      </w:r>
    </w:p>
    <w:p w14:paraId="562FAB02"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lastRenderedPageBreak/>
        <w:t xml:space="preserve">Om deze reden wordt het dossier doorgestuurd naar de deputatie. Dit </w:t>
      </w:r>
      <w:proofErr w:type="gramStart"/>
      <w:r w:rsidRPr="0038204D">
        <w:rPr>
          <w:rFonts w:ascii="Times New Roman" w:hAnsi="Times New Roman" w:cs="Times New Roman"/>
        </w:rPr>
        <w:t>onderstreept</w:t>
      </w:r>
      <w:proofErr w:type="gramEnd"/>
      <w:r w:rsidRPr="0038204D">
        <w:rPr>
          <w:rFonts w:ascii="Times New Roman" w:hAnsi="Times New Roman" w:cs="Times New Roman"/>
        </w:rPr>
        <w:t xml:space="preserve"> het belang van een objectieve en zorgvuldige beoordeling van het dossier door de hogere overheid.</w:t>
      </w:r>
    </w:p>
    <w:p w14:paraId="7DC04E67" w14:textId="31CCD386" w:rsidR="0038204D" w:rsidRPr="0038204D" w:rsidRDefault="0038204D" w:rsidP="0038204D">
      <w:pPr>
        <w:rPr>
          <w:rFonts w:ascii="Times New Roman" w:hAnsi="Times New Roman" w:cs="Times New Roman"/>
          <w:u w:val="single"/>
        </w:rPr>
      </w:pPr>
    </w:p>
    <w:p w14:paraId="558CCE16" w14:textId="77777777" w:rsidR="0038204D" w:rsidRPr="0038204D" w:rsidRDefault="0038204D" w:rsidP="0038204D">
      <w:pPr>
        <w:rPr>
          <w:rFonts w:ascii="Times New Roman" w:hAnsi="Times New Roman" w:cs="Times New Roman"/>
          <w:u w:val="single"/>
        </w:rPr>
      </w:pPr>
      <w:r w:rsidRPr="0038204D">
        <w:rPr>
          <w:rFonts w:ascii="Times New Roman" w:hAnsi="Times New Roman" w:cs="Times New Roman"/>
          <w:u w:val="single"/>
        </w:rPr>
        <w:t>XII. Strijdigheid met het principe van goede ruimtelijke ordening</w:t>
      </w:r>
    </w:p>
    <w:p w14:paraId="15CB07D3"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De Vlaamse Codex Ruimtelijke Ordening vereist dat elke vergunning verenigbaar moet zijn met het principe van goede ruimtelijke ordening.</w:t>
      </w:r>
    </w:p>
    <w:p w14:paraId="28F7D75C"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Bij de beoordeling hiervan moet rekening worden gehouden met:</w:t>
      </w:r>
    </w:p>
    <w:p w14:paraId="470DB69E" w14:textId="77777777" w:rsidR="0038204D" w:rsidRPr="0038204D" w:rsidRDefault="0038204D" w:rsidP="0038204D">
      <w:pPr>
        <w:numPr>
          <w:ilvl w:val="0"/>
          <w:numId w:val="21"/>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planologische context;</w:t>
      </w:r>
    </w:p>
    <w:p w14:paraId="7423AF33" w14:textId="77777777" w:rsidR="0038204D" w:rsidRPr="0038204D" w:rsidRDefault="0038204D" w:rsidP="0038204D">
      <w:pPr>
        <w:numPr>
          <w:ilvl w:val="0"/>
          <w:numId w:val="21"/>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ruimtelijke draagkracht van de omgeving;</w:t>
      </w:r>
    </w:p>
    <w:p w14:paraId="180535A2" w14:textId="77777777" w:rsidR="0038204D" w:rsidRPr="0038204D" w:rsidRDefault="0038204D" w:rsidP="0038204D">
      <w:pPr>
        <w:numPr>
          <w:ilvl w:val="0"/>
          <w:numId w:val="21"/>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impact op mobiliteit en verkeersveiligheid;</w:t>
      </w:r>
    </w:p>
    <w:p w14:paraId="1AE7564E" w14:textId="77777777" w:rsidR="0038204D" w:rsidRPr="0038204D" w:rsidRDefault="0038204D" w:rsidP="0038204D">
      <w:pPr>
        <w:numPr>
          <w:ilvl w:val="0"/>
          <w:numId w:val="21"/>
        </w:numPr>
        <w:rPr>
          <w:rFonts w:ascii="Times New Roman" w:hAnsi="Times New Roman" w:cs="Times New Roman"/>
        </w:rPr>
      </w:pPr>
      <w:proofErr w:type="gramStart"/>
      <w:r w:rsidRPr="0038204D">
        <w:rPr>
          <w:rFonts w:ascii="Times New Roman" w:hAnsi="Times New Roman" w:cs="Times New Roman"/>
        </w:rPr>
        <w:t>woonkwaliteit</w:t>
      </w:r>
      <w:proofErr w:type="gramEnd"/>
      <w:r w:rsidRPr="0038204D">
        <w:rPr>
          <w:rFonts w:ascii="Times New Roman" w:hAnsi="Times New Roman" w:cs="Times New Roman"/>
        </w:rPr>
        <w:t>, leefbaarheid en buitenruimte;</w:t>
      </w:r>
    </w:p>
    <w:p w14:paraId="37E6A8A2" w14:textId="77777777" w:rsidR="0038204D" w:rsidRPr="0038204D" w:rsidRDefault="0038204D" w:rsidP="0038204D">
      <w:pPr>
        <w:numPr>
          <w:ilvl w:val="0"/>
          <w:numId w:val="21"/>
        </w:numPr>
        <w:rPr>
          <w:rFonts w:ascii="Times New Roman" w:hAnsi="Times New Roman" w:cs="Times New Roman"/>
        </w:rPr>
      </w:pPr>
      <w:proofErr w:type="gramStart"/>
      <w:r w:rsidRPr="0038204D">
        <w:rPr>
          <w:rFonts w:ascii="Times New Roman" w:hAnsi="Times New Roman" w:cs="Times New Roman"/>
        </w:rPr>
        <w:t>netheid</w:t>
      </w:r>
      <w:proofErr w:type="gramEnd"/>
      <w:r w:rsidRPr="0038204D">
        <w:rPr>
          <w:rFonts w:ascii="Times New Roman" w:hAnsi="Times New Roman" w:cs="Times New Roman"/>
        </w:rPr>
        <w:t>/afvalbeheer;</w:t>
      </w:r>
    </w:p>
    <w:p w14:paraId="26E00E78" w14:textId="77777777" w:rsidR="0038204D" w:rsidRPr="0038204D" w:rsidRDefault="0038204D" w:rsidP="0038204D">
      <w:pPr>
        <w:numPr>
          <w:ilvl w:val="0"/>
          <w:numId w:val="21"/>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nood aan publieke functies bij bestemming “openbaar nut”.</w:t>
      </w:r>
    </w:p>
    <w:p w14:paraId="7C97CD3C"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Gelet op:</w:t>
      </w:r>
    </w:p>
    <w:p w14:paraId="66A9671D" w14:textId="77777777" w:rsidR="0038204D" w:rsidRPr="0038204D" w:rsidRDefault="0038204D" w:rsidP="0038204D">
      <w:pPr>
        <w:numPr>
          <w:ilvl w:val="0"/>
          <w:numId w:val="22"/>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afwijking van de BPA-bestemming “openbaar nut” zonder overtuigende ruimtelijke motivering;</w:t>
      </w:r>
    </w:p>
    <w:p w14:paraId="0BE5A82B" w14:textId="77777777" w:rsidR="0038204D" w:rsidRPr="0038204D" w:rsidRDefault="0038204D" w:rsidP="0038204D">
      <w:pPr>
        <w:numPr>
          <w:ilvl w:val="0"/>
          <w:numId w:val="22"/>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disproportionele afwijking van de dichtheid (o.m. 150 woningen/ha tegenover ca. 60 woningen/ha in de omgeving);</w:t>
      </w:r>
    </w:p>
    <w:p w14:paraId="04712AEE" w14:textId="77777777" w:rsidR="0038204D" w:rsidRPr="0038204D" w:rsidRDefault="0038204D" w:rsidP="0038204D">
      <w:pPr>
        <w:numPr>
          <w:ilvl w:val="0"/>
          <w:numId w:val="22"/>
        </w:numPr>
        <w:rPr>
          <w:rFonts w:ascii="Times New Roman" w:hAnsi="Times New Roman" w:cs="Times New Roman"/>
        </w:rPr>
      </w:pPr>
      <w:proofErr w:type="gramStart"/>
      <w:r w:rsidRPr="0038204D">
        <w:rPr>
          <w:rFonts w:ascii="Times New Roman" w:hAnsi="Times New Roman" w:cs="Times New Roman"/>
        </w:rPr>
        <w:t>het</w:t>
      </w:r>
      <w:proofErr w:type="gramEnd"/>
      <w:r w:rsidRPr="0038204D">
        <w:rPr>
          <w:rFonts w:ascii="Times New Roman" w:hAnsi="Times New Roman" w:cs="Times New Roman"/>
        </w:rPr>
        <w:t xml:space="preserve"> omvangrijke bouwvolume en risico op schaalbreuk;</w:t>
      </w:r>
    </w:p>
    <w:p w14:paraId="04888D82" w14:textId="77777777" w:rsidR="0038204D" w:rsidRPr="0038204D" w:rsidRDefault="0038204D" w:rsidP="0038204D">
      <w:pPr>
        <w:numPr>
          <w:ilvl w:val="0"/>
          <w:numId w:val="22"/>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beperkte mobiliteitsanalyse en het onbenut laten van de kans tot voetpadverbreding;</w:t>
      </w:r>
    </w:p>
    <w:p w14:paraId="05A96BAD" w14:textId="77777777" w:rsidR="0038204D" w:rsidRPr="0038204D" w:rsidRDefault="0038204D" w:rsidP="0038204D">
      <w:pPr>
        <w:numPr>
          <w:ilvl w:val="0"/>
          <w:numId w:val="22"/>
        </w:numPr>
        <w:rPr>
          <w:rFonts w:ascii="Times New Roman" w:hAnsi="Times New Roman" w:cs="Times New Roman"/>
        </w:rPr>
      </w:pPr>
      <w:proofErr w:type="gramStart"/>
      <w:r w:rsidRPr="0038204D">
        <w:rPr>
          <w:rFonts w:ascii="Times New Roman" w:hAnsi="Times New Roman" w:cs="Times New Roman"/>
        </w:rPr>
        <w:t>het</w:t>
      </w:r>
      <w:proofErr w:type="gramEnd"/>
      <w:r w:rsidRPr="0038204D">
        <w:rPr>
          <w:rFonts w:ascii="Times New Roman" w:hAnsi="Times New Roman" w:cs="Times New Roman"/>
        </w:rPr>
        <w:t xml:space="preserve"> tekort aan (gemeenschappelijke) buitenruimte bij een gezinsgericht project;</w:t>
      </w:r>
    </w:p>
    <w:p w14:paraId="4F948F35" w14:textId="77777777" w:rsidR="0038204D" w:rsidRPr="0038204D" w:rsidRDefault="0038204D" w:rsidP="0038204D">
      <w:pPr>
        <w:numPr>
          <w:ilvl w:val="0"/>
          <w:numId w:val="22"/>
        </w:numPr>
        <w:rPr>
          <w:rFonts w:ascii="Times New Roman" w:hAnsi="Times New Roman" w:cs="Times New Roman"/>
        </w:rPr>
      </w:pPr>
      <w:proofErr w:type="gramStart"/>
      <w:r w:rsidRPr="0038204D">
        <w:rPr>
          <w:rFonts w:ascii="Times New Roman" w:hAnsi="Times New Roman" w:cs="Times New Roman"/>
        </w:rPr>
        <w:t>het</w:t>
      </w:r>
      <w:proofErr w:type="gramEnd"/>
      <w:r w:rsidRPr="0038204D">
        <w:rPr>
          <w:rFonts w:ascii="Times New Roman" w:hAnsi="Times New Roman" w:cs="Times New Roman"/>
        </w:rPr>
        <w:t xml:space="preserve"> ontoereikende afvalconcept;</w:t>
      </w:r>
    </w:p>
    <w:p w14:paraId="1146C969" w14:textId="77777777" w:rsidR="0038204D" w:rsidRPr="0038204D" w:rsidRDefault="0038204D" w:rsidP="0038204D">
      <w:pPr>
        <w:numPr>
          <w:ilvl w:val="0"/>
          <w:numId w:val="22"/>
        </w:numPr>
        <w:rPr>
          <w:rFonts w:ascii="Times New Roman" w:hAnsi="Times New Roman" w:cs="Times New Roman"/>
        </w:rPr>
      </w:pPr>
      <w:proofErr w:type="gramStart"/>
      <w:r w:rsidRPr="0038204D">
        <w:rPr>
          <w:rFonts w:ascii="Times New Roman" w:hAnsi="Times New Roman" w:cs="Times New Roman"/>
        </w:rPr>
        <w:t>het</w:t>
      </w:r>
      <w:proofErr w:type="gramEnd"/>
      <w:r w:rsidRPr="0038204D">
        <w:rPr>
          <w:rFonts w:ascii="Times New Roman" w:hAnsi="Times New Roman" w:cs="Times New Roman"/>
        </w:rPr>
        <w:t xml:space="preserve"> ontbreken van onderzoek naar alternatieven en combinatiemogelijkheden “openbaar nut”;</w:t>
      </w:r>
    </w:p>
    <w:p w14:paraId="63A97CDC" w14:textId="77777777" w:rsidR="0038204D" w:rsidRPr="0038204D" w:rsidRDefault="0038204D" w:rsidP="0038204D">
      <w:pPr>
        <w:numPr>
          <w:ilvl w:val="0"/>
          <w:numId w:val="22"/>
        </w:numPr>
        <w:rPr>
          <w:rFonts w:ascii="Times New Roman" w:hAnsi="Times New Roman" w:cs="Times New Roman"/>
        </w:rPr>
      </w:pPr>
      <w:proofErr w:type="gramStart"/>
      <w:r w:rsidRPr="0038204D">
        <w:rPr>
          <w:rFonts w:ascii="Times New Roman" w:hAnsi="Times New Roman" w:cs="Times New Roman"/>
        </w:rPr>
        <w:t>de</w:t>
      </w:r>
      <w:proofErr w:type="gramEnd"/>
      <w:r w:rsidRPr="0038204D">
        <w:rPr>
          <w:rFonts w:ascii="Times New Roman" w:hAnsi="Times New Roman" w:cs="Times New Roman"/>
        </w:rPr>
        <w:t xml:space="preserve"> onvolledige redenering </w:t>
      </w:r>
      <w:proofErr w:type="gramStart"/>
      <w:r w:rsidRPr="0038204D">
        <w:rPr>
          <w:rFonts w:ascii="Times New Roman" w:hAnsi="Times New Roman" w:cs="Times New Roman"/>
        </w:rPr>
        <w:t>inzake</w:t>
      </w:r>
      <w:proofErr w:type="gramEnd"/>
      <w:r w:rsidRPr="0038204D">
        <w:rPr>
          <w:rFonts w:ascii="Times New Roman" w:hAnsi="Times New Roman" w:cs="Times New Roman"/>
        </w:rPr>
        <w:t xml:space="preserve"> PRUP als overdruk en blijvende BPA-bestemmingen,</w:t>
      </w:r>
    </w:p>
    <w:p w14:paraId="7827FB34" w14:textId="77777777" w:rsidR="0038204D" w:rsidRPr="0038204D" w:rsidRDefault="0038204D" w:rsidP="0038204D">
      <w:pPr>
        <w:rPr>
          <w:rFonts w:ascii="Times New Roman" w:hAnsi="Times New Roman" w:cs="Times New Roman"/>
        </w:rPr>
      </w:pPr>
      <w:proofErr w:type="gramStart"/>
      <w:r w:rsidRPr="0038204D">
        <w:rPr>
          <w:rFonts w:ascii="Times New Roman" w:hAnsi="Times New Roman" w:cs="Times New Roman"/>
        </w:rPr>
        <w:t>kan</w:t>
      </w:r>
      <w:proofErr w:type="gramEnd"/>
      <w:r w:rsidRPr="0038204D">
        <w:rPr>
          <w:rFonts w:ascii="Times New Roman" w:hAnsi="Times New Roman" w:cs="Times New Roman"/>
        </w:rPr>
        <w:t xml:space="preserve"> worden geconcludeerd dat het project onvoldoende aantoont dat het verenigbaar is met de goede ruimtelijke ordening.</w:t>
      </w:r>
    </w:p>
    <w:p w14:paraId="30DD00B0" w14:textId="19DB9107" w:rsidR="0038204D" w:rsidRPr="0038204D" w:rsidRDefault="0038204D" w:rsidP="0038204D">
      <w:pPr>
        <w:rPr>
          <w:rFonts w:ascii="Times New Roman" w:hAnsi="Times New Roman" w:cs="Times New Roman"/>
        </w:rPr>
      </w:pPr>
    </w:p>
    <w:p w14:paraId="29703116" w14:textId="77777777" w:rsidR="0038204D" w:rsidRPr="0038204D" w:rsidRDefault="0038204D" w:rsidP="0038204D">
      <w:pPr>
        <w:rPr>
          <w:rFonts w:ascii="Times New Roman" w:hAnsi="Times New Roman" w:cs="Times New Roman"/>
          <w:b/>
          <w:bCs/>
        </w:rPr>
      </w:pPr>
      <w:r w:rsidRPr="0038204D">
        <w:rPr>
          <w:rFonts w:ascii="Times New Roman" w:hAnsi="Times New Roman" w:cs="Times New Roman"/>
          <w:b/>
          <w:bCs/>
        </w:rPr>
        <w:t>Conclusie</w:t>
      </w:r>
    </w:p>
    <w:p w14:paraId="5017E7F7" w14:textId="086BDDC8" w:rsidR="0038204D" w:rsidRPr="0038204D" w:rsidRDefault="0038204D" w:rsidP="0038204D">
      <w:pPr>
        <w:rPr>
          <w:rFonts w:ascii="Times New Roman" w:hAnsi="Times New Roman" w:cs="Times New Roman"/>
        </w:rPr>
      </w:pPr>
      <w:r w:rsidRPr="0038204D">
        <w:rPr>
          <w:rFonts w:ascii="Times New Roman" w:hAnsi="Times New Roman" w:cs="Times New Roman"/>
        </w:rPr>
        <w:t>Gelet op bovenstaande argumenten verzoek ik de bevoegde vergunningverlenende overheid om de gevraagde omgevingsvergunning te weigeren.</w:t>
      </w:r>
    </w:p>
    <w:p w14:paraId="402AD9CE"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lastRenderedPageBreak/>
        <w:t>Hoewel een afwijking van BPA-voorschriften in principe mogelijk is op basis van artikel 4.4.9/1 VCRO, vereist een dergelijke afwijking een duidelijke, concrete en ruimtelijk overtuigende motivering. In dit dossier wordt de afwijking voornamelijk onderbouwd met beleidsmatige argumenten (o.m. BSO), terwijl de vereiste ruimtelijke onderbouwing onvoldoende is.</w:t>
      </w:r>
    </w:p>
    <w:p w14:paraId="46F27CF7" w14:textId="77777777" w:rsidR="0038204D" w:rsidRDefault="0038204D" w:rsidP="0038204D">
      <w:pPr>
        <w:rPr>
          <w:rFonts w:ascii="Times New Roman" w:hAnsi="Times New Roman" w:cs="Times New Roman"/>
        </w:rPr>
      </w:pPr>
      <w:r w:rsidRPr="0038204D">
        <w:rPr>
          <w:rFonts w:ascii="Times New Roman" w:hAnsi="Times New Roman" w:cs="Times New Roman"/>
        </w:rPr>
        <w:t>Bovendien blijkt uit de rechtspraak van de Raad voor Vergunningsbetwistingen dat wanneer een vergunning een aanzienlijke afwijking van planologische voorschriften inhoudt zonder voldoende ruimtelijke motivering, dit aanleiding kan geven tot een vernietiging in een latere beroepsprocedure.</w:t>
      </w:r>
    </w:p>
    <w:p w14:paraId="3DD24111" w14:textId="77777777" w:rsidR="002819B9" w:rsidRDefault="002819B9" w:rsidP="0038204D">
      <w:pPr>
        <w:rPr>
          <w:rFonts w:ascii="Times New Roman" w:hAnsi="Times New Roman" w:cs="Times New Roman"/>
        </w:rPr>
      </w:pPr>
    </w:p>
    <w:p w14:paraId="7D0674AC" w14:textId="77777777" w:rsidR="002819B9" w:rsidRPr="0038204D" w:rsidRDefault="002819B9" w:rsidP="0038204D">
      <w:pPr>
        <w:rPr>
          <w:rFonts w:ascii="Times New Roman" w:hAnsi="Times New Roman" w:cs="Times New Roman"/>
        </w:rPr>
      </w:pPr>
    </w:p>
    <w:p w14:paraId="5FB0F45C" w14:textId="77777777" w:rsidR="0038204D" w:rsidRPr="0038204D" w:rsidRDefault="0038204D" w:rsidP="0038204D">
      <w:pPr>
        <w:rPr>
          <w:rFonts w:ascii="Times New Roman" w:hAnsi="Times New Roman" w:cs="Times New Roman"/>
        </w:rPr>
      </w:pPr>
      <w:r w:rsidRPr="0038204D">
        <w:rPr>
          <w:rFonts w:ascii="Times New Roman" w:hAnsi="Times New Roman" w:cs="Times New Roman"/>
        </w:rPr>
        <w:t>Naam</w:t>
      </w:r>
      <w:r w:rsidRPr="0038204D">
        <w:rPr>
          <w:rFonts w:ascii="Times New Roman" w:hAnsi="Times New Roman" w:cs="Times New Roman"/>
        </w:rPr>
        <w:br/>
        <w:t>Adres</w:t>
      </w:r>
      <w:r w:rsidRPr="0038204D">
        <w:rPr>
          <w:rFonts w:ascii="Times New Roman" w:hAnsi="Times New Roman" w:cs="Times New Roman"/>
        </w:rPr>
        <w:br/>
        <w:t>Datum</w:t>
      </w:r>
    </w:p>
    <w:p w14:paraId="1B7A6C56" w14:textId="12DE67F5" w:rsidR="008131CE" w:rsidRPr="0038204D" w:rsidRDefault="008131CE" w:rsidP="0038204D"/>
    <w:sectPr w:rsidR="008131CE" w:rsidRPr="00382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ACB"/>
    <w:multiLevelType w:val="multilevel"/>
    <w:tmpl w:val="6C08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FF2"/>
    <w:multiLevelType w:val="multilevel"/>
    <w:tmpl w:val="0F98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92E7E"/>
    <w:multiLevelType w:val="multilevel"/>
    <w:tmpl w:val="C590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0590D"/>
    <w:multiLevelType w:val="multilevel"/>
    <w:tmpl w:val="270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257C6"/>
    <w:multiLevelType w:val="multilevel"/>
    <w:tmpl w:val="0492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D71C9"/>
    <w:multiLevelType w:val="multilevel"/>
    <w:tmpl w:val="DF66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94BFA"/>
    <w:multiLevelType w:val="multilevel"/>
    <w:tmpl w:val="069C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77A38"/>
    <w:multiLevelType w:val="multilevel"/>
    <w:tmpl w:val="F59C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E146E"/>
    <w:multiLevelType w:val="multilevel"/>
    <w:tmpl w:val="D870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D3DFB"/>
    <w:multiLevelType w:val="multilevel"/>
    <w:tmpl w:val="2C1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A1F41"/>
    <w:multiLevelType w:val="multilevel"/>
    <w:tmpl w:val="8A24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E45EB"/>
    <w:multiLevelType w:val="multilevel"/>
    <w:tmpl w:val="2758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74AEA"/>
    <w:multiLevelType w:val="multilevel"/>
    <w:tmpl w:val="94B4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D71FB"/>
    <w:multiLevelType w:val="multilevel"/>
    <w:tmpl w:val="D8C2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53C41"/>
    <w:multiLevelType w:val="multilevel"/>
    <w:tmpl w:val="887E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01E1D"/>
    <w:multiLevelType w:val="multilevel"/>
    <w:tmpl w:val="E98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3730A"/>
    <w:multiLevelType w:val="multilevel"/>
    <w:tmpl w:val="52B8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A16BA"/>
    <w:multiLevelType w:val="multilevel"/>
    <w:tmpl w:val="328A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752C4"/>
    <w:multiLevelType w:val="multilevel"/>
    <w:tmpl w:val="D826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D3509"/>
    <w:multiLevelType w:val="multilevel"/>
    <w:tmpl w:val="D55A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73715E"/>
    <w:multiLevelType w:val="multilevel"/>
    <w:tmpl w:val="D7F4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40028B"/>
    <w:multiLevelType w:val="multilevel"/>
    <w:tmpl w:val="6672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627620">
    <w:abstractNumId w:val="11"/>
  </w:num>
  <w:num w:numId="2" w16cid:durableId="2038501187">
    <w:abstractNumId w:val="13"/>
  </w:num>
  <w:num w:numId="3" w16cid:durableId="880895244">
    <w:abstractNumId w:val="7"/>
  </w:num>
  <w:num w:numId="4" w16cid:durableId="1522471292">
    <w:abstractNumId w:val="8"/>
  </w:num>
  <w:num w:numId="5" w16cid:durableId="730156433">
    <w:abstractNumId w:val="19"/>
  </w:num>
  <w:num w:numId="6" w16cid:durableId="25832424">
    <w:abstractNumId w:val="21"/>
  </w:num>
  <w:num w:numId="7" w16cid:durableId="1754668955">
    <w:abstractNumId w:val="4"/>
  </w:num>
  <w:num w:numId="8" w16cid:durableId="372581320">
    <w:abstractNumId w:val="17"/>
  </w:num>
  <w:num w:numId="9" w16cid:durableId="1705446320">
    <w:abstractNumId w:val="20"/>
  </w:num>
  <w:num w:numId="10" w16cid:durableId="1269436519">
    <w:abstractNumId w:val="2"/>
  </w:num>
  <w:num w:numId="11" w16cid:durableId="203449177">
    <w:abstractNumId w:val="16"/>
  </w:num>
  <w:num w:numId="12" w16cid:durableId="1611207340">
    <w:abstractNumId w:val="5"/>
  </w:num>
  <w:num w:numId="13" w16cid:durableId="1974750511">
    <w:abstractNumId w:val="18"/>
  </w:num>
  <w:num w:numId="14" w16cid:durableId="851142548">
    <w:abstractNumId w:val="6"/>
  </w:num>
  <w:num w:numId="15" w16cid:durableId="899902724">
    <w:abstractNumId w:val="15"/>
  </w:num>
  <w:num w:numId="16" w16cid:durableId="1473986496">
    <w:abstractNumId w:val="3"/>
  </w:num>
  <w:num w:numId="17" w16cid:durableId="742217485">
    <w:abstractNumId w:val="14"/>
  </w:num>
  <w:num w:numId="18" w16cid:durableId="64571466">
    <w:abstractNumId w:val="9"/>
  </w:num>
  <w:num w:numId="19" w16cid:durableId="1958556957">
    <w:abstractNumId w:val="1"/>
  </w:num>
  <w:num w:numId="20" w16cid:durableId="958534768">
    <w:abstractNumId w:val="10"/>
  </w:num>
  <w:num w:numId="21" w16cid:durableId="2026207923">
    <w:abstractNumId w:val="12"/>
  </w:num>
  <w:num w:numId="22" w16cid:durableId="35311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03"/>
    <w:rsid w:val="00002E96"/>
    <w:rsid w:val="000D4143"/>
    <w:rsid w:val="001E20DD"/>
    <w:rsid w:val="00233C70"/>
    <w:rsid w:val="002819B9"/>
    <w:rsid w:val="002C64CA"/>
    <w:rsid w:val="00304908"/>
    <w:rsid w:val="0038204D"/>
    <w:rsid w:val="005A3A3F"/>
    <w:rsid w:val="006B0E1E"/>
    <w:rsid w:val="00703D03"/>
    <w:rsid w:val="008131CE"/>
    <w:rsid w:val="00D31CBD"/>
    <w:rsid w:val="00F103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697D"/>
  <w15:chartTrackingRefBased/>
  <w15:docId w15:val="{884D02B2-F552-4134-86E1-DD002245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D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D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D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D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D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D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D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D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D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D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D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D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D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D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D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D03"/>
    <w:rPr>
      <w:rFonts w:eastAsiaTheme="majorEastAsia" w:cstheme="majorBidi"/>
      <w:color w:val="272727" w:themeColor="text1" w:themeTint="D8"/>
    </w:rPr>
  </w:style>
  <w:style w:type="paragraph" w:styleId="Titel">
    <w:name w:val="Title"/>
    <w:basedOn w:val="Standaard"/>
    <w:next w:val="Standaard"/>
    <w:link w:val="TitelChar"/>
    <w:uiPriority w:val="10"/>
    <w:qFormat/>
    <w:rsid w:val="00703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D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D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D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D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D03"/>
    <w:rPr>
      <w:i/>
      <w:iCs/>
      <w:color w:val="404040" w:themeColor="text1" w:themeTint="BF"/>
    </w:rPr>
  </w:style>
  <w:style w:type="paragraph" w:styleId="Lijstalinea">
    <w:name w:val="List Paragraph"/>
    <w:basedOn w:val="Standaard"/>
    <w:uiPriority w:val="34"/>
    <w:qFormat/>
    <w:rsid w:val="00703D03"/>
    <w:pPr>
      <w:ind w:left="720"/>
      <w:contextualSpacing/>
    </w:pPr>
  </w:style>
  <w:style w:type="character" w:styleId="Intensievebenadrukking">
    <w:name w:val="Intense Emphasis"/>
    <w:basedOn w:val="Standaardalinea-lettertype"/>
    <w:uiPriority w:val="21"/>
    <w:qFormat/>
    <w:rsid w:val="00703D03"/>
    <w:rPr>
      <w:i/>
      <w:iCs/>
      <w:color w:val="0F4761" w:themeColor="accent1" w:themeShade="BF"/>
    </w:rPr>
  </w:style>
  <w:style w:type="paragraph" w:styleId="Duidelijkcitaat">
    <w:name w:val="Intense Quote"/>
    <w:basedOn w:val="Standaard"/>
    <w:next w:val="Standaard"/>
    <w:link w:val="DuidelijkcitaatChar"/>
    <w:uiPriority w:val="30"/>
    <w:qFormat/>
    <w:rsid w:val="00703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D03"/>
    <w:rPr>
      <w:i/>
      <w:iCs/>
      <w:color w:val="0F4761" w:themeColor="accent1" w:themeShade="BF"/>
    </w:rPr>
  </w:style>
  <w:style w:type="character" w:styleId="Intensieveverwijzing">
    <w:name w:val="Intense Reference"/>
    <w:basedOn w:val="Standaardalinea-lettertype"/>
    <w:uiPriority w:val="32"/>
    <w:qFormat/>
    <w:rsid w:val="00703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2063</Words>
  <Characters>11348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Slootmans</dc:creator>
  <cp:keywords/>
  <dc:description/>
  <cp:lastModifiedBy> </cp:lastModifiedBy>
  <cp:revision>2</cp:revision>
  <dcterms:created xsi:type="dcterms:W3CDTF">2026-03-14T21:00:00Z</dcterms:created>
  <dcterms:modified xsi:type="dcterms:W3CDTF">2026-03-14T21:00:00Z</dcterms:modified>
</cp:coreProperties>
</file>