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6D5F3" w14:textId="77777777" w:rsidR="007A2846" w:rsidRPr="00451CDB" w:rsidRDefault="00C84E9E" w:rsidP="007A2846">
      <w:pPr>
        <w:rPr>
          <w:rFonts w:ascii="Times New Roman Vet" w:hAnsi="Times New Roman Vet"/>
          <w:sz w:val="22"/>
          <w:szCs w:val="22"/>
          <w:lang w:val="nl-BE"/>
        </w:rPr>
      </w:pPr>
      <w:r w:rsidRPr="00451CDB">
        <w:rPr>
          <w:b/>
          <w:smallCaps/>
          <w:szCs w:val="22"/>
          <w:lang w:val="nl-BE"/>
        </w:rPr>
        <w:t>ben weyts</w:t>
      </w:r>
    </w:p>
    <w:p w14:paraId="27CAA6D7" w14:textId="77777777" w:rsidR="00C96513" w:rsidRPr="00C96513" w:rsidRDefault="00C84E9E" w:rsidP="00E75678">
      <w:r w:rsidRPr="00451CDB">
        <w:rPr>
          <w:smallCaps/>
          <w:szCs w:val="22"/>
          <w:lang w:val="nl-BE"/>
        </w:rPr>
        <w:t xml:space="preserve">viceminister-president van de </w:t>
      </w:r>
      <w:proofErr w:type="spellStart"/>
      <w:r w:rsidRPr="00451CDB">
        <w:rPr>
          <w:smallCaps/>
          <w:szCs w:val="22"/>
          <w:lang w:val="nl-BE"/>
        </w:rPr>
        <w:t>vlaamse</w:t>
      </w:r>
      <w:proofErr w:type="spellEnd"/>
      <w:r w:rsidRPr="00451CDB">
        <w:rPr>
          <w:smallCaps/>
          <w:szCs w:val="22"/>
          <w:lang w:val="nl-BE"/>
        </w:rPr>
        <w:t xml:space="preserve"> regering, </w:t>
      </w:r>
      <w:proofErr w:type="spellStart"/>
      <w:r w:rsidRPr="00451CDB">
        <w:rPr>
          <w:smallCaps/>
          <w:szCs w:val="22"/>
          <w:lang w:val="nl-BE"/>
        </w:rPr>
        <w:t>vlaams</w:t>
      </w:r>
      <w:proofErr w:type="spellEnd"/>
      <w:r w:rsidRPr="00451CDB">
        <w:rPr>
          <w:smallCaps/>
          <w:szCs w:val="22"/>
          <w:lang w:val="nl-BE"/>
        </w:rPr>
        <w:t xml:space="preserve"> minister van begroting en financiën, </w:t>
      </w:r>
      <w:proofErr w:type="spellStart"/>
      <w:r w:rsidRPr="00451CDB">
        <w:rPr>
          <w:smallCaps/>
          <w:szCs w:val="22"/>
          <w:lang w:val="nl-BE"/>
        </w:rPr>
        <w:t>vlaamse</w:t>
      </w:r>
      <w:proofErr w:type="spellEnd"/>
      <w:r w:rsidRPr="00451CDB">
        <w:rPr>
          <w:smallCaps/>
          <w:szCs w:val="22"/>
          <w:lang w:val="nl-BE"/>
        </w:rPr>
        <w:t xml:space="preserve"> rand, onroerend erfgoed en dierenwelzijn</w:t>
      </w:r>
    </w:p>
    <w:p w14:paraId="246F5E99" w14:textId="77777777" w:rsidR="00C96513" w:rsidRPr="008A4109" w:rsidRDefault="00C96513" w:rsidP="00E75678">
      <w:pPr>
        <w:pBdr>
          <w:bottom w:val="single" w:sz="4" w:space="1" w:color="auto"/>
        </w:pBdr>
      </w:pPr>
    </w:p>
    <w:p w14:paraId="5F8CDAEA" w14:textId="77777777" w:rsidR="00C96513" w:rsidRPr="008A4109" w:rsidRDefault="00C96513" w:rsidP="00E75678"/>
    <w:p w14:paraId="39B719DA" w14:textId="77777777" w:rsidR="00E63731" w:rsidRPr="00E90415" w:rsidRDefault="00C84E9E" w:rsidP="00E75678">
      <w:pPr>
        <w:rPr>
          <w:b/>
          <w:smallCaps/>
        </w:rPr>
      </w:pPr>
      <w:r>
        <w:rPr>
          <w:b/>
          <w:smallCaps/>
        </w:rPr>
        <w:t>antwoord</w:t>
      </w:r>
    </w:p>
    <w:p w14:paraId="406787AD" w14:textId="761F07D4" w:rsidR="00282D9B" w:rsidRDefault="00C84E9E" w:rsidP="007A2846">
      <w:r>
        <w:t>o</w:t>
      </w:r>
      <w:r w:rsidR="009F6ADF">
        <w:t xml:space="preserve">p vraag </w:t>
      </w:r>
      <w:r w:rsidR="007A2846" w:rsidRPr="00451CDB">
        <w:t xml:space="preserve">nr. </w:t>
      </w:r>
      <w:r w:rsidR="007E576E">
        <w:t>275</w:t>
      </w:r>
      <w:r w:rsidR="000168E9">
        <w:t xml:space="preserve"> </w:t>
      </w:r>
      <w:r>
        <w:t xml:space="preserve">van </w:t>
      </w:r>
      <w:r w:rsidR="007E576E">
        <w:t>21</w:t>
      </w:r>
      <w:r w:rsidR="000168E9">
        <w:t xml:space="preserve"> </w:t>
      </w:r>
      <w:r w:rsidR="007E576E">
        <w:t>april</w:t>
      </w:r>
      <w:r w:rsidR="000168E9">
        <w:t xml:space="preserve"> </w:t>
      </w:r>
      <w:r w:rsidR="003E53DD">
        <w:t>202</w:t>
      </w:r>
      <w:r w:rsidR="00695A6F">
        <w:t>6</w:t>
      </w:r>
    </w:p>
    <w:p w14:paraId="5ECCDCA0" w14:textId="6F116715" w:rsidR="00C96513" w:rsidRPr="00282D9B" w:rsidRDefault="00C84E9E" w:rsidP="007A2846">
      <w:pPr>
        <w:rPr>
          <w:b/>
          <w:smallCaps/>
        </w:rPr>
      </w:pPr>
      <w:r w:rsidRPr="00451CDB">
        <w:t xml:space="preserve">van </w:t>
      </w:r>
      <w:proofErr w:type="spellStart"/>
      <w:r w:rsidR="007E576E">
        <w:rPr>
          <w:b/>
          <w:smallCaps/>
        </w:rPr>
        <w:t>anke</w:t>
      </w:r>
      <w:proofErr w:type="spellEnd"/>
      <w:r w:rsidR="000168E9">
        <w:rPr>
          <w:b/>
          <w:smallCaps/>
        </w:rPr>
        <w:t xml:space="preserve"> </w:t>
      </w:r>
      <w:r w:rsidR="007E576E">
        <w:rPr>
          <w:b/>
          <w:smallCaps/>
        </w:rPr>
        <w:t>van dermeersch</w:t>
      </w:r>
    </w:p>
    <w:p w14:paraId="7438CBBA" w14:textId="77777777" w:rsidR="00C96513" w:rsidRPr="008A4109" w:rsidRDefault="00C96513" w:rsidP="00E75678">
      <w:pPr>
        <w:pStyle w:val="StandaardSV"/>
        <w:pBdr>
          <w:bottom w:val="single" w:sz="4" w:space="1" w:color="auto"/>
        </w:pBdr>
        <w:jc w:val="left"/>
        <w:rPr>
          <w:rFonts w:ascii="Verdana" w:hAnsi="Verdana"/>
          <w:sz w:val="20"/>
          <w:lang w:val="nl-BE"/>
        </w:rPr>
      </w:pPr>
    </w:p>
    <w:p w14:paraId="41EC8419" w14:textId="77777777" w:rsidR="00451CDB" w:rsidRPr="008A4109" w:rsidRDefault="00451CDB" w:rsidP="00E75678">
      <w:pPr>
        <w:pStyle w:val="StandaardSV"/>
        <w:jc w:val="left"/>
        <w:rPr>
          <w:rFonts w:ascii="Verdana" w:hAnsi="Verdana"/>
          <w:sz w:val="20"/>
        </w:rPr>
      </w:pPr>
    </w:p>
    <w:p w14:paraId="4450220C" w14:textId="77777777" w:rsidR="004F412B" w:rsidRDefault="004F412B" w:rsidP="00E90415">
      <w:pPr>
        <w:pStyle w:val="StijlStandaardSVVerdana10ptLinks-175cm"/>
        <w:rPr>
          <w:rFonts w:eastAsia="Calibri"/>
          <w:lang w:val="nl-BE" w:eastAsia="en-US"/>
        </w:rPr>
      </w:pPr>
    </w:p>
    <w:p w14:paraId="05CC8D6D" w14:textId="377D4A6A" w:rsidR="00887347" w:rsidRDefault="00001AD7" w:rsidP="003D02E6">
      <w:pPr>
        <w:numPr>
          <w:ilvl w:val="0"/>
          <w:numId w:val="15"/>
        </w:numPr>
        <w:ind w:left="284" w:hanging="284"/>
      </w:pPr>
      <w:r>
        <w:t xml:space="preserve">De tabel hieronder bevat per aanslagjaar het netto </w:t>
      </w:r>
      <w:proofErr w:type="spellStart"/>
      <w:r>
        <w:t>ingekohierd</w:t>
      </w:r>
      <w:proofErr w:type="spellEnd"/>
      <w:r>
        <w:t xml:space="preserve"> bedrag </w:t>
      </w:r>
      <w:r w:rsidR="006C0365">
        <w:t xml:space="preserve">(in euro) </w:t>
      </w:r>
      <w:r>
        <w:t>aan verkeersbelastingen (jaarlijkse verkeersbelasting</w:t>
      </w:r>
      <w:r w:rsidR="00E56A39">
        <w:t xml:space="preserve"> (JVB),</w:t>
      </w:r>
      <w:r>
        <w:t xml:space="preserve"> </w:t>
      </w:r>
      <w:r w:rsidR="00E56A39">
        <w:t xml:space="preserve">belasting op de inverkeerstelling (BIV) </w:t>
      </w:r>
      <w:r>
        <w:t>en aanvullende verkeersbelasting</w:t>
      </w:r>
      <w:r w:rsidR="0051556C">
        <w:t xml:space="preserve"> </w:t>
      </w:r>
      <w:r w:rsidR="00E56A39">
        <w:t>(AVB)</w:t>
      </w:r>
      <w:r>
        <w:t xml:space="preserve">). </w:t>
      </w:r>
      <w:r w:rsidR="002F1712">
        <w:t>De ontvangsten uit de Vlaamse verkeersbelastingen zijn in de periode 2020-2025 globaal stabiel gebleven, met schommelingen naargelang de samenstelling van het wagenpark, het aantal inschrijvingen en de kenmerken van de voertuigen.</w:t>
      </w:r>
      <w:r w:rsidR="00C06D56">
        <w:tab/>
      </w:r>
      <w:r w:rsidR="002F1712">
        <w:br/>
      </w:r>
    </w:p>
    <w:tbl>
      <w:tblPr>
        <w:tblW w:w="8769" w:type="dxa"/>
        <w:tblInd w:w="279" w:type="dxa"/>
        <w:tblLayout w:type="fixed"/>
        <w:tblCellMar>
          <w:left w:w="70" w:type="dxa"/>
          <w:right w:w="70" w:type="dxa"/>
        </w:tblCellMar>
        <w:tblLook w:val="04A0" w:firstRow="1" w:lastRow="0" w:firstColumn="1" w:lastColumn="0" w:noHBand="0" w:noVBand="1"/>
      </w:tblPr>
      <w:tblGrid>
        <w:gridCol w:w="1417"/>
        <w:gridCol w:w="1795"/>
        <w:gridCol w:w="1796"/>
        <w:gridCol w:w="1796"/>
        <w:gridCol w:w="1965"/>
      </w:tblGrid>
      <w:tr w:rsidR="00E56A39" w:rsidRPr="00E56A39" w14:paraId="6A15C1E3" w14:textId="77777777" w:rsidTr="00E56A39">
        <w:trPr>
          <w:trHeight w:val="288"/>
        </w:trPr>
        <w:tc>
          <w:tcPr>
            <w:tcW w:w="1417" w:type="dxa"/>
            <w:tcBorders>
              <w:top w:val="single" w:sz="4" w:space="0" w:color="000000"/>
              <w:left w:val="single" w:sz="4" w:space="0" w:color="000000"/>
              <w:bottom w:val="nil"/>
              <w:right w:val="nil"/>
            </w:tcBorders>
            <w:noWrap/>
            <w:vAlign w:val="bottom"/>
            <w:hideMark/>
          </w:tcPr>
          <w:p w14:paraId="37629DD0" w14:textId="59BBBEC2" w:rsidR="00E56A39" w:rsidRPr="00E56A39" w:rsidRDefault="00E56A39" w:rsidP="00E56A39">
            <w:pPr>
              <w:jc w:val="left"/>
              <w:rPr>
                <w:rFonts w:cs="Calibri"/>
                <w:b/>
                <w:bCs/>
                <w:sz w:val="18"/>
                <w:szCs w:val="18"/>
                <w:lang w:val="nl-BE" w:eastAsia="nl-BE"/>
              </w:rPr>
            </w:pPr>
            <w:r w:rsidRPr="00E56A39">
              <w:rPr>
                <w:rFonts w:cs="Calibri"/>
                <w:b/>
                <w:bCs/>
                <w:sz w:val="18"/>
                <w:szCs w:val="18"/>
                <w:lang w:val="nl-BE" w:eastAsia="nl-BE"/>
              </w:rPr>
              <w:t>Aanslagjaar</w:t>
            </w:r>
          </w:p>
        </w:tc>
        <w:tc>
          <w:tcPr>
            <w:tcW w:w="1795" w:type="dxa"/>
            <w:tcBorders>
              <w:top w:val="single" w:sz="4" w:space="0" w:color="000000"/>
              <w:left w:val="nil"/>
              <w:bottom w:val="nil"/>
              <w:right w:val="nil"/>
            </w:tcBorders>
            <w:noWrap/>
            <w:vAlign w:val="bottom"/>
            <w:hideMark/>
          </w:tcPr>
          <w:p w14:paraId="5D4CF5AC" w14:textId="5E5C6332" w:rsidR="00E56A39" w:rsidRPr="00E56A39" w:rsidRDefault="00E56A39" w:rsidP="00E56A39">
            <w:pPr>
              <w:jc w:val="right"/>
              <w:rPr>
                <w:rFonts w:cs="Calibri"/>
                <w:b/>
                <w:bCs/>
                <w:sz w:val="18"/>
                <w:szCs w:val="18"/>
                <w:lang w:val="nl-BE" w:eastAsia="nl-BE"/>
              </w:rPr>
            </w:pPr>
            <w:r w:rsidRPr="00E56A39">
              <w:rPr>
                <w:rFonts w:cs="Calibri"/>
                <w:b/>
                <w:bCs/>
                <w:sz w:val="18"/>
                <w:szCs w:val="18"/>
                <w:lang w:val="nl-BE" w:eastAsia="nl-BE"/>
              </w:rPr>
              <w:t>JVB</w:t>
            </w:r>
          </w:p>
        </w:tc>
        <w:tc>
          <w:tcPr>
            <w:tcW w:w="1796" w:type="dxa"/>
            <w:tcBorders>
              <w:top w:val="single" w:sz="4" w:space="0" w:color="000000"/>
              <w:left w:val="nil"/>
              <w:bottom w:val="nil"/>
              <w:right w:val="nil"/>
            </w:tcBorders>
            <w:noWrap/>
            <w:vAlign w:val="bottom"/>
            <w:hideMark/>
          </w:tcPr>
          <w:p w14:paraId="6C79C1C4" w14:textId="2FCF46C0" w:rsidR="00E56A39" w:rsidRPr="00E56A39" w:rsidRDefault="00E56A39" w:rsidP="00E56A39">
            <w:pPr>
              <w:jc w:val="right"/>
              <w:rPr>
                <w:rFonts w:cs="Calibri"/>
                <w:b/>
                <w:bCs/>
                <w:sz w:val="18"/>
                <w:szCs w:val="18"/>
                <w:lang w:val="nl-BE" w:eastAsia="nl-BE"/>
              </w:rPr>
            </w:pPr>
            <w:r w:rsidRPr="00E56A39">
              <w:rPr>
                <w:rFonts w:cs="Calibri"/>
                <w:b/>
                <w:bCs/>
                <w:sz w:val="18"/>
                <w:szCs w:val="18"/>
                <w:lang w:val="nl-BE" w:eastAsia="nl-BE"/>
              </w:rPr>
              <w:t>BIV</w:t>
            </w:r>
          </w:p>
        </w:tc>
        <w:tc>
          <w:tcPr>
            <w:tcW w:w="1796" w:type="dxa"/>
            <w:tcBorders>
              <w:top w:val="single" w:sz="4" w:space="0" w:color="000000"/>
              <w:left w:val="nil"/>
              <w:bottom w:val="nil"/>
              <w:right w:val="nil"/>
            </w:tcBorders>
            <w:noWrap/>
            <w:vAlign w:val="bottom"/>
            <w:hideMark/>
          </w:tcPr>
          <w:p w14:paraId="160B66D4" w14:textId="2B46D38A" w:rsidR="00E56A39" w:rsidRPr="00E56A39" w:rsidRDefault="00E56A39" w:rsidP="00E56A39">
            <w:pPr>
              <w:jc w:val="right"/>
              <w:rPr>
                <w:rFonts w:cs="Calibri"/>
                <w:b/>
                <w:bCs/>
                <w:sz w:val="18"/>
                <w:szCs w:val="18"/>
                <w:lang w:val="nl-BE" w:eastAsia="nl-BE"/>
              </w:rPr>
            </w:pPr>
            <w:r w:rsidRPr="00E56A39">
              <w:rPr>
                <w:rFonts w:cs="Calibri"/>
                <w:b/>
                <w:bCs/>
                <w:sz w:val="18"/>
                <w:szCs w:val="18"/>
                <w:lang w:val="nl-BE" w:eastAsia="nl-BE"/>
              </w:rPr>
              <w:t>AVB</w:t>
            </w:r>
          </w:p>
        </w:tc>
        <w:tc>
          <w:tcPr>
            <w:tcW w:w="1965" w:type="dxa"/>
            <w:tcBorders>
              <w:top w:val="single" w:sz="4" w:space="0" w:color="000000"/>
              <w:left w:val="nil"/>
              <w:bottom w:val="nil"/>
              <w:right w:val="single" w:sz="4" w:space="0" w:color="000000"/>
            </w:tcBorders>
            <w:noWrap/>
            <w:vAlign w:val="bottom"/>
            <w:hideMark/>
          </w:tcPr>
          <w:p w14:paraId="4E7498C6" w14:textId="77777777" w:rsidR="00E56A39" w:rsidRPr="00E56A39" w:rsidRDefault="00E56A39" w:rsidP="00E56A39">
            <w:pPr>
              <w:jc w:val="right"/>
              <w:rPr>
                <w:rFonts w:cs="Calibri"/>
                <w:b/>
                <w:bCs/>
                <w:sz w:val="18"/>
                <w:szCs w:val="18"/>
                <w:lang w:val="nl-BE" w:eastAsia="nl-BE"/>
              </w:rPr>
            </w:pPr>
            <w:r w:rsidRPr="00E56A39">
              <w:rPr>
                <w:rFonts w:cs="Calibri"/>
                <w:b/>
                <w:bCs/>
                <w:sz w:val="18"/>
                <w:szCs w:val="18"/>
                <w:lang w:val="nl-BE" w:eastAsia="nl-BE"/>
              </w:rPr>
              <w:t>Totaal</w:t>
            </w:r>
          </w:p>
        </w:tc>
      </w:tr>
      <w:tr w:rsidR="00E56A39" w:rsidRPr="00E56A39" w14:paraId="36F0E90E" w14:textId="77777777" w:rsidTr="00E56A39">
        <w:trPr>
          <w:trHeight w:val="288"/>
        </w:trPr>
        <w:tc>
          <w:tcPr>
            <w:tcW w:w="1417" w:type="dxa"/>
            <w:tcBorders>
              <w:top w:val="single" w:sz="4" w:space="0" w:color="000000"/>
              <w:left w:val="single" w:sz="4" w:space="0" w:color="000000"/>
              <w:bottom w:val="nil"/>
              <w:right w:val="nil"/>
            </w:tcBorders>
            <w:noWrap/>
            <w:vAlign w:val="bottom"/>
            <w:hideMark/>
          </w:tcPr>
          <w:p w14:paraId="5FBC1920" w14:textId="77777777" w:rsidR="00E56A39" w:rsidRPr="00E56A39" w:rsidRDefault="00E56A39" w:rsidP="00E56A39">
            <w:pPr>
              <w:jc w:val="left"/>
              <w:rPr>
                <w:rFonts w:cs="Calibri"/>
                <w:color w:val="000000"/>
                <w:sz w:val="18"/>
                <w:szCs w:val="18"/>
                <w:lang w:val="nl-BE" w:eastAsia="nl-BE"/>
              </w:rPr>
            </w:pPr>
            <w:r w:rsidRPr="00E56A39">
              <w:rPr>
                <w:rFonts w:cs="Calibri"/>
                <w:color w:val="000000"/>
                <w:sz w:val="18"/>
                <w:szCs w:val="18"/>
                <w:lang w:val="nl-BE" w:eastAsia="nl-BE"/>
              </w:rPr>
              <w:t>2020</w:t>
            </w:r>
          </w:p>
        </w:tc>
        <w:tc>
          <w:tcPr>
            <w:tcW w:w="1795" w:type="dxa"/>
            <w:tcBorders>
              <w:top w:val="single" w:sz="4" w:space="0" w:color="000000"/>
              <w:left w:val="nil"/>
              <w:bottom w:val="nil"/>
              <w:right w:val="nil"/>
            </w:tcBorders>
            <w:noWrap/>
            <w:vAlign w:val="bottom"/>
            <w:hideMark/>
          </w:tcPr>
          <w:p w14:paraId="4E1CBD89" w14:textId="5E615362" w:rsidR="00E56A39" w:rsidRPr="00E56A39" w:rsidRDefault="00E56A39" w:rsidP="00E56A39">
            <w:pPr>
              <w:jc w:val="right"/>
              <w:rPr>
                <w:rFonts w:cs="Calibri"/>
                <w:color w:val="000000"/>
                <w:sz w:val="18"/>
                <w:szCs w:val="18"/>
                <w:lang w:val="nl-BE" w:eastAsia="nl-BE"/>
              </w:rPr>
            </w:pPr>
            <w:r w:rsidRPr="00E56A39">
              <w:rPr>
                <w:rFonts w:cs="Calibri"/>
                <w:color w:val="000000"/>
                <w:sz w:val="18"/>
                <w:szCs w:val="18"/>
                <w:lang w:val="nl-BE" w:eastAsia="nl-BE"/>
              </w:rPr>
              <w:t>1.210.511.179</w:t>
            </w:r>
          </w:p>
        </w:tc>
        <w:tc>
          <w:tcPr>
            <w:tcW w:w="1796" w:type="dxa"/>
            <w:tcBorders>
              <w:top w:val="single" w:sz="4" w:space="0" w:color="000000"/>
              <w:left w:val="nil"/>
              <w:bottom w:val="nil"/>
              <w:right w:val="nil"/>
            </w:tcBorders>
            <w:noWrap/>
            <w:vAlign w:val="bottom"/>
            <w:hideMark/>
          </w:tcPr>
          <w:p w14:paraId="3FA0139A" w14:textId="1399CA61" w:rsidR="00E56A39" w:rsidRPr="00E56A39" w:rsidRDefault="00E56A39" w:rsidP="00E56A39">
            <w:pPr>
              <w:jc w:val="right"/>
              <w:rPr>
                <w:rFonts w:cs="Calibri"/>
                <w:color w:val="000000"/>
                <w:sz w:val="18"/>
                <w:szCs w:val="18"/>
                <w:lang w:val="nl-BE" w:eastAsia="nl-BE"/>
              </w:rPr>
            </w:pPr>
            <w:r w:rsidRPr="00E56A39">
              <w:rPr>
                <w:rFonts w:cs="Calibri"/>
                <w:color w:val="000000"/>
                <w:sz w:val="18"/>
                <w:szCs w:val="18"/>
                <w:lang w:val="nl-BE" w:eastAsia="nl-BE"/>
              </w:rPr>
              <w:t>265.386.905</w:t>
            </w:r>
          </w:p>
        </w:tc>
        <w:tc>
          <w:tcPr>
            <w:tcW w:w="1796" w:type="dxa"/>
            <w:tcBorders>
              <w:top w:val="single" w:sz="4" w:space="0" w:color="000000"/>
              <w:left w:val="nil"/>
              <w:bottom w:val="nil"/>
              <w:right w:val="nil"/>
            </w:tcBorders>
            <w:noWrap/>
            <w:vAlign w:val="bottom"/>
            <w:hideMark/>
          </w:tcPr>
          <w:p w14:paraId="7B1CC4D2" w14:textId="55DCB77D" w:rsidR="00E56A39" w:rsidRPr="00E56A39" w:rsidRDefault="00E56A39" w:rsidP="00E56A39">
            <w:pPr>
              <w:jc w:val="right"/>
              <w:rPr>
                <w:rFonts w:cs="Calibri"/>
                <w:color w:val="000000"/>
                <w:sz w:val="18"/>
                <w:szCs w:val="18"/>
                <w:lang w:val="nl-BE" w:eastAsia="nl-BE"/>
              </w:rPr>
            </w:pPr>
            <w:r w:rsidRPr="00E56A39">
              <w:rPr>
                <w:rFonts w:cs="Calibri"/>
                <w:color w:val="000000"/>
                <w:sz w:val="18"/>
                <w:szCs w:val="18"/>
                <w:lang w:val="nl-BE" w:eastAsia="nl-BE"/>
              </w:rPr>
              <w:t>1.338.307</w:t>
            </w:r>
          </w:p>
        </w:tc>
        <w:tc>
          <w:tcPr>
            <w:tcW w:w="1965" w:type="dxa"/>
            <w:tcBorders>
              <w:top w:val="single" w:sz="4" w:space="0" w:color="000000"/>
              <w:left w:val="nil"/>
              <w:bottom w:val="nil"/>
              <w:right w:val="single" w:sz="4" w:space="0" w:color="000000"/>
            </w:tcBorders>
            <w:noWrap/>
            <w:vAlign w:val="bottom"/>
            <w:hideMark/>
          </w:tcPr>
          <w:p w14:paraId="19B7B03E" w14:textId="0B5C4134" w:rsidR="00E56A39" w:rsidRPr="00E56A39" w:rsidRDefault="00E56A39" w:rsidP="00E56A39">
            <w:pPr>
              <w:jc w:val="right"/>
              <w:rPr>
                <w:rFonts w:cs="Calibri"/>
                <w:color w:val="000000"/>
                <w:sz w:val="18"/>
                <w:szCs w:val="18"/>
                <w:lang w:val="nl-BE" w:eastAsia="nl-BE"/>
              </w:rPr>
            </w:pPr>
            <w:r w:rsidRPr="00E56A39">
              <w:rPr>
                <w:rFonts w:cs="Calibri"/>
                <w:color w:val="000000"/>
                <w:sz w:val="18"/>
                <w:szCs w:val="18"/>
                <w:lang w:val="nl-BE" w:eastAsia="nl-BE"/>
              </w:rPr>
              <w:t>1.477.236.390</w:t>
            </w:r>
          </w:p>
        </w:tc>
      </w:tr>
      <w:tr w:rsidR="00E56A39" w:rsidRPr="00E56A39" w14:paraId="11F06FC8" w14:textId="77777777" w:rsidTr="00E56A39">
        <w:trPr>
          <w:trHeight w:val="288"/>
        </w:trPr>
        <w:tc>
          <w:tcPr>
            <w:tcW w:w="1417" w:type="dxa"/>
            <w:tcBorders>
              <w:top w:val="single" w:sz="4" w:space="0" w:color="000000"/>
              <w:left w:val="single" w:sz="4" w:space="0" w:color="000000"/>
              <w:bottom w:val="nil"/>
              <w:right w:val="nil"/>
            </w:tcBorders>
            <w:noWrap/>
            <w:vAlign w:val="bottom"/>
            <w:hideMark/>
          </w:tcPr>
          <w:p w14:paraId="53299035" w14:textId="77777777" w:rsidR="00E56A39" w:rsidRPr="00E56A39" w:rsidRDefault="00E56A39" w:rsidP="00E56A39">
            <w:pPr>
              <w:jc w:val="left"/>
              <w:rPr>
                <w:rFonts w:cs="Calibri"/>
                <w:color w:val="000000"/>
                <w:sz w:val="18"/>
                <w:szCs w:val="18"/>
                <w:lang w:val="nl-BE" w:eastAsia="nl-BE"/>
              </w:rPr>
            </w:pPr>
            <w:r w:rsidRPr="00E56A39">
              <w:rPr>
                <w:rFonts w:cs="Calibri"/>
                <w:color w:val="000000"/>
                <w:sz w:val="18"/>
                <w:szCs w:val="18"/>
                <w:lang w:val="nl-BE" w:eastAsia="nl-BE"/>
              </w:rPr>
              <w:t>2021</w:t>
            </w:r>
          </w:p>
        </w:tc>
        <w:tc>
          <w:tcPr>
            <w:tcW w:w="1795" w:type="dxa"/>
            <w:tcBorders>
              <w:top w:val="single" w:sz="4" w:space="0" w:color="000000"/>
              <w:left w:val="nil"/>
              <w:bottom w:val="nil"/>
              <w:right w:val="nil"/>
            </w:tcBorders>
            <w:noWrap/>
            <w:vAlign w:val="bottom"/>
            <w:hideMark/>
          </w:tcPr>
          <w:p w14:paraId="7C8E1E16" w14:textId="0E0D84BB" w:rsidR="00E56A39" w:rsidRPr="00E56A39" w:rsidRDefault="00E56A39" w:rsidP="00E56A39">
            <w:pPr>
              <w:jc w:val="right"/>
              <w:rPr>
                <w:rFonts w:cs="Calibri"/>
                <w:color w:val="000000"/>
                <w:sz w:val="18"/>
                <w:szCs w:val="18"/>
                <w:lang w:val="nl-BE" w:eastAsia="nl-BE"/>
              </w:rPr>
            </w:pPr>
            <w:r w:rsidRPr="00E56A39">
              <w:rPr>
                <w:rFonts w:cs="Calibri"/>
                <w:color w:val="000000"/>
                <w:sz w:val="18"/>
                <w:szCs w:val="18"/>
                <w:lang w:val="nl-BE" w:eastAsia="nl-BE"/>
              </w:rPr>
              <w:t>1.203.748.407</w:t>
            </w:r>
          </w:p>
        </w:tc>
        <w:tc>
          <w:tcPr>
            <w:tcW w:w="1796" w:type="dxa"/>
            <w:tcBorders>
              <w:top w:val="single" w:sz="4" w:space="0" w:color="000000"/>
              <w:left w:val="nil"/>
              <w:bottom w:val="nil"/>
              <w:right w:val="nil"/>
            </w:tcBorders>
            <w:noWrap/>
            <w:vAlign w:val="bottom"/>
            <w:hideMark/>
          </w:tcPr>
          <w:p w14:paraId="73253437" w14:textId="48488B8D" w:rsidR="00E56A39" w:rsidRPr="00E56A39" w:rsidRDefault="00E56A39" w:rsidP="00E56A39">
            <w:pPr>
              <w:jc w:val="right"/>
              <w:rPr>
                <w:rFonts w:cs="Calibri"/>
                <w:color w:val="000000"/>
                <w:sz w:val="18"/>
                <w:szCs w:val="18"/>
                <w:lang w:val="nl-BE" w:eastAsia="nl-BE"/>
              </w:rPr>
            </w:pPr>
            <w:r w:rsidRPr="00E56A39">
              <w:rPr>
                <w:rFonts w:cs="Calibri"/>
                <w:color w:val="000000"/>
                <w:sz w:val="18"/>
                <w:szCs w:val="18"/>
                <w:lang w:val="nl-BE" w:eastAsia="nl-BE"/>
              </w:rPr>
              <w:t>248.456.070</w:t>
            </w:r>
          </w:p>
        </w:tc>
        <w:tc>
          <w:tcPr>
            <w:tcW w:w="1796" w:type="dxa"/>
            <w:tcBorders>
              <w:top w:val="single" w:sz="4" w:space="0" w:color="000000"/>
              <w:left w:val="nil"/>
              <w:bottom w:val="nil"/>
              <w:right w:val="nil"/>
            </w:tcBorders>
            <w:noWrap/>
            <w:vAlign w:val="bottom"/>
            <w:hideMark/>
          </w:tcPr>
          <w:p w14:paraId="7551167E" w14:textId="20F0E45E" w:rsidR="00E56A39" w:rsidRPr="00E56A39" w:rsidRDefault="00E56A39" w:rsidP="00E56A39">
            <w:pPr>
              <w:jc w:val="right"/>
              <w:rPr>
                <w:rFonts w:cs="Calibri"/>
                <w:color w:val="000000"/>
                <w:sz w:val="18"/>
                <w:szCs w:val="18"/>
                <w:lang w:val="nl-BE" w:eastAsia="nl-BE"/>
              </w:rPr>
            </w:pPr>
            <w:r w:rsidRPr="00E56A39">
              <w:rPr>
                <w:rFonts w:cs="Calibri"/>
                <w:color w:val="000000"/>
                <w:sz w:val="18"/>
                <w:szCs w:val="18"/>
                <w:lang w:val="nl-BE" w:eastAsia="nl-BE"/>
              </w:rPr>
              <w:t>1.340.636</w:t>
            </w:r>
          </w:p>
        </w:tc>
        <w:tc>
          <w:tcPr>
            <w:tcW w:w="1965" w:type="dxa"/>
            <w:tcBorders>
              <w:top w:val="single" w:sz="4" w:space="0" w:color="000000"/>
              <w:left w:val="nil"/>
              <w:bottom w:val="nil"/>
              <w:right w:val="single" w:sz="4" w:space="0" w:color="000000"/>
            </w:tcBorders>
            <w:noWrap/>
            <w:vAlign w:val="bottom"/>
            <w:hideMark/>
          </w:tcPr>
          <w:p w14:paraId="42D8CAFF" w14:textId="3F6EF1D3" w:rsidR="00E56A39" w:rsidRPr="00E56A39" w:rsidRDefault="00E56A39" w:rsidP="00E56A39">
            <w:pPr>
              <w:jc w:val="right"/>
              <w:rPr>
                <w:rFonts w:cs="Calibri"/>
                <w:color w:val="000000"/>
                <w:sz w:val="18"/>
                <w:szCs w:val="18"/>
                <w:lang w:val="nl-BE" w:eastAsia="nl-BE"/>
              </w:rPr>
            </w:pPr>
            <w:r w:rsidRPr="00E56A39">
              <w:rPr>
                <w:rFonts w:cs="Calibri"/>
                <w:color w:val="000000"/>
                <w:sz w:val="18"/>
                <w:szCs w:val="18"/>
                <w:lang w:val="nl-BE" w:eastAsia="nl-BE"/>
              </w:rPr>
              <w:t>1.453.545.114</w:t>
            </w:r>
          </w:p>
        </w:tc>
      </w:tr>
      <w:tr w:rsidR="00E56A39" w:rsidRPr="00E56A39" w14:paraId="2BC8509A" w14:textId="77777777" w:rsidTr="00E56A39">
        <w:trPr>
          <w:trHeight w:val="288"/>
        </w:trPr>
        <w:tc>
          <w:tcPr>
            <w:tcW w:w="1417" w:type="dxa"/>
            <w:tcBorders>
              <w:top w:val="single" w:sz="4" w:space="0" w:color="000000"/>
              <w:left w:val="single" w:sz="4" w:space="0" w:color="000000"/>
              <w:bottom w:val="nil"/>
              <w:right w:val="nil"/>
            </w:tcBorders>
            <w:noWrap/>
            <w:vAlign w:val="bottom"/>
            <w:hideMark/>
          </w:tcPr>
          <w:p w14:paraId="4FFD08A6" w14:textId="77777777" w:rsidR="00E56A39" w:rsidRPr="00E56A39" w:rsidRDefault="00E56A39" w:rsidP="00E56A39">
            <w:pPr>
              <w:jc w:val="left"/>
              <w:rPr>
                <w:rFonts w:cs="Calibri"/>
                <w:color w:val="000000"/>
                <w:sz w:val="18"/>
                <w:szCs w:val="18"/>
                <w:lang w:val="nl-BE" w:eastAsia="nl-BE"/>
              </w:rPr>
            </w:pPr>
            <w:r w:rsidRPr="00E56A39">
              <w:rPr>
                <w:rFonts w:cs="Calibri"/>
                <w:color w:val="000000"/>
                <w:sz w:val="18"/>
                <w:szCs w:val="18"/>
                <w:lang w:val="nl-BE" w:eastAsia="nl-BE"/>
              </w:rPr>
              <w:t>2022</w:t>
            </w:r>
          </w:p>
        </w:tc>
        <w:tc>
          <w:tcPr>
            <w:tcW w:w="1795" w:type="dxa"/>
            <w:tcBorders>
              <w:top w:val="single" w:sz="4" w:space="0" w:color="000000"/>
              <w:left w:val="nil"/>
              <w:bottom w:val="nil"/>
              <w:right w:val="nil"/>
            </w:tcBorders>
            <w:noWrap/>
            <w:vAlign w:val="bottom"/>
            <w:hideMark/>
          </w:tcPr>
          <w:p w14:paraId="39419C9A" w14:textId="694C7969" w:rsidR="00E56A39" w:rsidRPr="00E56A39" w:rsidRDefault="00E56A39" w:rsidP="00E56A39">
            <w:pPr>
              <w:jc w:val="right"/>
              <w:rPr>
                <w:rFonts w:cs="Calibri"/>
                <w:color w:val="000000"/>
                <w:sz w:val="18"/>
                <w:szCs w:val="18"/>
                <w:lang w:val="nl-BE" w:eastAsia="nl-BE"/>
              </w:rPr>
            </w:pPr>
            <w:r w:rsidRPr="00E56A39">
              <w:rPr>
                <w:rFonts w:cs="Calibri"/>
                <w:color w:val="000000"/>
                <w:sz w:val="18"/>
                <w:szCs w:val="18"/>
                <w:lang w:val="nl-BE" w:eastAsia="nl-BE"/>
              </w:rPr>
              <w:t>1.233.678.115</w:t>
            </w:r>
          </w:p>
        </w:tc>
        <w:tc>
          <w:tcPr>
            <w:tcW w:w="1796" w:type="dxa"/>
            <w:tcBorders>
              <w:top w:val="single" w:sz="4" w:space="0" w:color="000000"/>
              <w:left w:val="nil"/>
              <w:bottom w:val="nil"/>
              <w:right w:val="nil"/>
            </w:tcBorders>
            <w:noWrap/>
            <w:vAlign w:val="bottom"/>
            <w:hideMark/>
          </w:tcPr>
          <w:p w14:paraId="252180AF" w14:textId="0F84F6CD" w:rsidR="00E56A39" w:rsidRPr="00E56A39" w:rsidRDefault="00E56A39" w:rsidP="00E56A39">
            <w:pPr>
              <w:jc w:val="right"/>
              <w:rPr>
                <w:rFonts w:cs="Calibri"/>
                <w:color w:val="000000"/>
                <w:sz w:val="18"/>
                <w:szCs w:val="18"/>
                <w:lang w:val="nl-BE" w:eastAsia="nl-BE"/>
              </w:rPr>
            </w:pPr>
            <w:r w:rsidRPr="00E56A39">
              <w:rPr>
                <w:rFonts w:cs="Calibri"/>
                <w:color w:val="000000"/>
                <w:sz w:val="18"/>
                <w:szCs w:val="18"/>
                <w:lang w:val="nl-BE" w:eastAsia="nl-BE"/>
              </w:rPr>
              <w:t>227.896.884</w:t>
            </w:r>
          </w:p>
        </w:tc>
        <w:tc>
          <w:tcPr>
            <w:tcW w:w="1796" w:type="dxa"/>
            <w:tcBorders>
              <w:top w:val="single" w:sz="4" w:space="0" w:color="000000"/>
              <w:left w:val="nil"/>
              <w:bottom w:val="nil"/>
              <w:right w:val="nil"/>
            </w:tcBorders>
            <w:noWrap/>
            <w:vAlign w:val="bottom"/>
            <w:hideMark/>
          </w:tcPr>
          <w:p w14:paraId="11529105" w14:textId="395F144E" w:rsidR="00E56A39" w:rsidRPr="00E56A39" w:rsidRDefault="00E56A39" w:rsidP="00E56A39">
            <w:pPr>
              <w:jc w:val="right"/>
              <w:rPr>
                <w:rFonts w:cs="Calibri"/>
                <w:color w:val="000000"/>
                <w:sz w:val="18"/>
                <w:szCs w:val="18"/>
                <w:lang w:val="nl-BE" w:eastAsia="nl-BE"/>
              </w:rPr>
            </w:pPr>
            <w:r w:rsidRPr="00E56A39">
              <w:rPr>
                <w:rFonts w:cs="Calibri"/>
                <w:color w:val="000000"/>
                <w:sz w:val="18"/>
                <w:szCs w:val="18"/>
                <w:lang w:val="nl-BE" w:eastAsia="nl-BE"/>
              </w:rPr>
              <w:t>1.355.967</w:t>
            </w:r>
          </w:p>
        </w:tc>
        <w:tc>
          <w:tcPr>
            <w:tcW w:w="1965" w:type="dxa"/>
            <w:tcBorders>
              <w:top w:val="single" w:sz="4" w:space="0" w:color="000000"/>
              <w:left w:val="nil"/>
              <w:bottom w:val="nil"/>
              <w:right w:val="single" w:sz="4" w:space="0" w:color="000000"/>
            </w:tcBorders>
            <w:noWrap/>
            <w:vAlign w:val="bottom"/>
            <w:hideMark/>
          </w:tcPr>
          <w:p w14:paraId="27921F52" w14:textId="426E344D" w:rsidR="00E56A39" w:rsidRPr="00E56A39" w:rsidRDefault="00E56A39" w:rsidP="00E56A39">
            <w:pPr>
              <w:jc w:val="right"/>
              <w:rPr>
                <w:rFonts w:cs="Calibri"/>
                <w:color w:val="000000"/>
                <w:sz w:val="18"/>
                <w:szCs w:val="18"/>
                <w:lang w:val="nl-BE" w:eastAsia="nl-BE"/>
              </w:rPr>
            </w:pPr>
            <w:r w:rsidRPr="00E56A39">
              <w:rPr>
                <w:rFonts w:cs="Calibri"/>
                <w:color w:val="000000"/>
                <w:sz w:val="18"/>
                <w:szCs w:val="18"/>
                <w:lang w:val="nl-BE" w:eastAsia="nl-BE"/>
              </w:rPr>
              <w:t>1.462.930.966</w:t>
            </w:r>
          </w:p>
        </w:tc>
      </w:tr>
      <w:tr w:rsidR="00E56A39" w:rsidRPr="00E56A39" w14:paraId="09983090" w14:textId="77777777" w:rsidTr="00E56A39">
        <w:trPr>
          <w:trHeight w:val="288"/>
        </w:trPr>
        <w:tc>
          <w:tcPr>
            <w:tcW w:w="1417" w:type="dxa"/>
            <w:tcBorders>
              <w:top w:val="single" w:sz="4" w:space="0" w:color="000000"/>
              <w:left w:val="single" w:sz="4" w:space="0" w:color="000000"/>
              <w:bottom w:val="nil"/>
              <w:right w:val="nil"/>
            </w:tcBorders>
            <w:noWrap/>
            <w:vAlign w:val="bottom"/>
            <w:hideMark/>
          </w:tcPr>
          <w:p w14:paraId="3EC8E62F" w14:textId="77777777" w:rsidR="00E56A39" w:rsidRPr="00E56A39" w:rsidRDefault="00E56A39" w:rsidP="00E56A39">
            <w:pPr>
              <w:jc w:val="left"/>
              <w:rPr>
                <w:rFonts w:cs="Calibri"/>
                <w:color w:val="000000"/>
                <w:sz w:val="18"/>
                <w:szCs w:val="18"/>
                <w:lang w:val="nl-BE" w:eastAsia="nl-BE"/>
              </w:rPr>
            </w:pPr>
            <w:r w:rsidRPr="00E56A39">
              <w:rPr>
                <w:rFonts w:cs="Calibri"/>
                <w:color w:val="000000"/>
                <w:sz w:val="18"/>
                <w:szCs w:val="18"/>
                <w:lang w:val="nl-BE" w:eastAsia="nl-BE"/>
              </w:rPr>
              <w:t>2023</w:t>
            </w:r>
          </w:p>
        </w:tc>
        <w:tc>
          <w:tcPr>
            <w:tcW w:w="1795" w:type="dxa"/>
            <w:tcBorders>
              <w:top w:val="single" w:sz="4" w:space="0" w:color="000000"/>
              <w:left w:val="nil"/>
              <w:bottom w:val="nil"/>
              <w:right w:val="nil"/>
            </w:tcBorders>
            <w:noWrap/>
            <w:vAlign w:val="bottom"/>
            <w:hideMark/>
          </w:tcPr>
          <w:p w14:paraId="3C33626E" w14:textId="7F01ED08" w:rsidR="00E56A39" w:rsidRPr="00E56A39" w:rsidRDefault="00E56A39" w:rsidP="00E56A39">
            <w:pPr>
              <w:jc w:val="right"/>
              <w:rPr>
                <w:rFonts w:cs="Calibri"/>
                <w:color w:val="000000"/>
                <w:sz w:val="18"/>
                <w:szCs w:val="18"/>
                <w:lang w:val="nl-BE" w:eastAsia="nl-BE"/>
              </w:rPr>
            </w:pPr>
            <w:r w:rsidRPr="00E56A39">
              <w:rPr>
                <w:rFonts w:cs="Calibri"/>
                <w:color w:val="000000"/>
                <w:sz w:val="18"/>
                <w:szCs w:val="18"/>
                <w:lang w:val="nl-BE" w:eastAsia="nl-BE"/>
              </w:rPr>
              <w:t>1.298.224.236</w:t>
            </w:r>
          </w:p>
        </w:tc>
        <w:tc>
          <w:tcPr>
            <w:tcW w:w="1796" w:type="dxa"/>
            <w:tcBorders>
              <w:top w:val="single" w:sz="4" w:space="0" w:color="000000"/>
              <w:left w:val="nil"/>
              <w:bottom w:val="nil"/>
              <w:right w:val="nil"/>
            </w:tcBorders>
            <w:noWrap/>
            <w:vAlign w:val="bottom"/>
            <w:hideMark/>
          </w:tcPr>
          <w:p w14:paraId="1A53E922" w14:textId="2C4B9032" w:rsidR="00E56A39" w:rsidRPr="00E56A39" w:rsidRDefault="00E56A39" w:rsidP="00E56A39">
            <w:pPr>
              <w:jc w:val="right"/>
              <w:rPr>
                <w:rFonts w:cs="Calibri"/>
                <w:color w:val="000000"/>
                <w:sz w:val="18"/>
                <w:szCs w:val="18"/>
                <w:lang w:val="nl-BE" w:eastAsia="nl-BE"/>
              </w:rPr>
            </w:pPr>
            <w:r w:rsidRPr="00E56A39">
              <w:rPr>
                <w:rFonts w:cs="Calibri"/>
                <w:color w:val="000000"/>
                <w:sz w:val="18"/>
                <w:szCs w:val="18"/>
                <w:lang w:val="nl-BE" w:eastAsia="nl-BE"/>
              </w:rPr>
              <w:t>267.642.695</w:t>
            </w:r>
          </w:p>
        </w:tc>
        <w:tc>
          <w:tcPr>
            <w:tcW w:w="1796" w:type="dxa"/>
            <w:tcBorders>
              <w:top w:val="single" w:sz="4" w:space="0" w:color="000000"/>
              <w:left w:val="nil"/>
              <w:bottom w:val="nil"/>
              <w:right w:val="nil"/>
            </w:tcBorders>
            <w:noWrap/>
            <w:vAlign w:val="bottom"/>
            <w:hideMark/>
          </w:tcPr>
          <w:p w14:paraId="202388A8" w14:textId="6AE011B4" w:rsidR="00E56A39" w:rsidRPr="00E56A39" w:rsidRDefault="00E56A39" w:rsidP="00E56A39">
            <w:pPr>
              <w:jc w:val="right"/>
              <w:rPr>
                <w:rFonts w:cs="Calibri"/>
                <w:color w:val="000000"/>
                <w:sz w:val="18"/>
                <w:szCs w:val="18"/>
                <w:lang w:val="nl-BE" w:eastAsia="nl-BE"/>
              </w:rPr>
            </w:pPr>
            <w:r w:rsidRPr="00E56A39">
              <w:rPr>
                <w:rFonts w:cs="Calibri"/>
                <w:color w:val="000000"/>
                <w:sz w:val="18"/>
                <w:szCs w:val="18"/>
                <w:lang w:val="nl-BE" w:eastAsia="nl-BE"/>
              </w:rPr>
              <w:t>1.392.932</w:t>
            </w:r>
          </w:p>
        </w:tc>
        <w:tc>
          <w:tcPr>
            <w:tcW w:w="1965" w:type="dxa"/>
            <w:tcBorders>
              <w:top w:val="single" w:sz="4" w:space="0" w:color="000000"/>
              <w:left w:val="nil"/>
              <w:bottom w:val="nil"/>
              <w:right w:val="single" w:sz="4" w:space="0" w:color="000000"/>
            </w:tcBorders>
            <w:noWrap/>
            <w:vAlign w:val="bottom"/>
            <w:hideMark/>
          </w:tcPr>
          <w:p w14:paraId="0E3E5D91" w14:textId="68F7968E" w:rsidR="00E56A39" w:rsidRPr="00E56A39" w:rsidRDefault="00E56A39" w:rsidP="00E56A39">
            <w:pPr>
              <w:jc w:val="right"/>
              <w:rPr>
                <w:rFonts w:cs="Calibri"/>
                <w:color w:val="000000"/>
                <w:sz w:val="18"/>
                <w:szCs w:val="18"/>
                <w:lang w:val="nl-BE" w:eastAsia="nl-BE"/>
              </w:rPr>
            </w:pPr>
            <w:r w:rsidRPr="00E56A39">
              <w:rPr>
                <w:rFonts w:cs="Calibri"/>
                <w:color w:val="000000"/>
                <w:sz w:val="18"/>
                <w:szCs w:val="18"/>
                <w:lang w:val="nl-BE" w:eastAsia="nl-BE"/>
              </w:rPr>
              <w:t>1.567.259.863</w:t>
            </w:r>
          </w:p>
        </w:tc>
      </w:tr>
      <w:tr w:rsidR="00E56A39" w:rsidRPr="00E56A39" w14:paraId="34A10D77" w14:textId="77777777" w:rsidTr="00E56A39">
        <w:trPr>
          <w:trHeight w:val="288"/>
        </w:trPr>
        <w:tc>
          <w:tcPr>
            <w:tcW w:w="1417" w:type="dxa"/>
            <w:tcBorders>
              <w:top w:val="single" w:sz="4" w:space="0" w:color="000000"/>
              <w:left w:val="single" w:sz="4" w:space="0" w:color="000000"/>
              <w:bottom w:val="nil"/>
              <w:right w:val="nil"/>
            </w:tcBorders>
            <w:noWrap/>
            <w:vAlign w:val="bottom"/>
            <w:hideMark/>
          </w:tcPr>
          <w:p w14:paraId="2E8BB039" w14:textId="77777777" w:rsidR="00E56A39" w:rsidRPr="00E56A39" w:rsidRDefault="00E56A39" w:rsidP="00E56A39">
            <w:pPr>
              <w:jc w:val="left"/>
              <w:rPr>
                <w:rFonts w:cs="Calibri"/>
                <w:color w:val="000000"/>
                <w:sz w:val="18"/>
                <w:szCs w:val="18"/>
                <w:lang w:val="nl-BE" w:eastAsia="nl-BE"/>
              </w:rPr>
            </w:pPr>
            <w:r w:rsidRPr="00E56A39">
              <w:rPr>
                <w:rFonts w:cs="Calibri"/>
                <w:color w:val="000000"/>
                <w:sz w:val="18"/>
                <w:szCs w:val="18"/>
                <w:lang w:val="nl-BE" w:eastAsia="nl-BE"/>
              </w:rPr>
              <w:t>2024</w:t>
            </w:r>
          </w:p>
        </w:tc>
        <w:tc>
          <w:tcPr>
            <w:tcW w:w="1795" w:type="dxa"/>
            <w:tcBorders>
              <w:top w:val="single" w:sz="4" w:space="0" w:color="000000"/>
              <w:left w:val="nil"/>
              <w:bottom w:val="nil"/>
              <w:right w:val="nil"/>
            </w:tcBorders>
            <w:noWrap/>
            <w:vAlign w:val="bottom"/>
            <w:hideMark/>
          </w:tcPr>
          <w:p w14:paraId="3FF43F1E" w14:textId="5CAB8386" w:rsidR="00E56A39" w:rsidRPr="00E56A39" w:rsidRDefault="00E56A39" w:rsidP="00E56A39">
            <w:pPr>
              <w:jc w:val="right"/>
              <w:rPr>
                <w:rFonts w:cs="Calibri"/>
                <w:color w:val="000000"/>
                <w:sz w:val="18"/>
                <w:szCs w:val="18"/>
                <w:lang w:val="nl-BE" w:eastAsia="nl-BE"/>
              </w:rPr>
            </w:pPr>
            <w:r w:rsidRPr="00E56A39">
              <w:rPr>
                <w:rFonts w:cs="Calibri"/>
                <w:color w:val="000000"/>
                <w:sz w:val="18"/>
                <w:szCs w:val="18"/>
                <w:lang w:val="nl-BE" w:eastAsia="nl-BE"/>
              </w:rPr>
              <w:t>1.297.550.724</w:t>
            </w:r>
          </w:p>
        </w:tc>
        <w:tc>
          <w:tcPr>
            <w:tcW w:w="1796" w:type="dxa"/>
            <w:tcBorders>
              <w:top w:val="single" w:sz="4" w:space="0" w:color="000000"/>
              <w:left w:val="nil"/>
              <w:bottom w:val="nil"/>
              <w:right w:val="nil"/>
            </w:tcBorders>
            <w:noWrap/>
            <w:vAlign w:val="bottom"/>
            <w:hideMark/>
          </w:tcPr>
          <w:p w14:paraId="18263585" w14:textId="175DAD2D" w:rsidR="00E56A39" w:rsidRPr="00E56A39" w:rsidRDefault="00E56A39" w:rsidP="00E56A39">
            <w:pPr>
              <w:jc w:val="right"/>
              <w:rPr>
                <w:rFonts w:cs="Calibri"/>
                <w:color w:val="000000"/>
                <w:sz w:val="18"/>
                <w:szCs w:val="18"/>
                <w:lang w:val="nl-BE" w:eastAsia="nl-BE"/>
              </w:rPr>
            </w:pPr>
            <w:r w:rsidRPr="00E56A39">
              <w:rPr>
                <w:rFonts w:cs="Calibri"/>
                <w:color w:val="000000"/>
                <w:sz w:val="18"/>
                <w:szCs w:val="18"/>
                <w:lang w:val="nl-BE" w:eastAsia="nl-BE"/>
              </w:rPr>
              <w:t>243.629.305</w:t>
            </w:r>
          </w:p>
        </w:tc>
        <w:tc>
          <w:tcPr>
            <w:tcW w:w="1796" w:type="dxa"/>
            <w:tcBorders>
              <w:top w:val="single" w:sz="4" w:space="0" w:color="000000"/>
              <w:left w:val="nil"/>
              <w:bottom w:val="nil"/>
              <w:right w:val="nil"/>
            </w:tcBorders>
            <w:noWrap/>
            <w:vAlign w:val="bottom"/>
            <w:hideMark/>
          </w:tcPr>
          <w:p w14:paraId="0CDFFE12" w14:textId="3D9D93FC" w:rsidR="00E56A39" w:rsidRPr="00E56A39" w:rsidRDefault="00E56A39" w:rsidP="00E56A39">
            <w:pPr>
              <w:jc w:val="right"/>
              <w:rPr>
                <w:rFonts w:cs="Calibri"/>
                <w:color w:val="000000"/>
                <w:sz w:val="18"/>
                <w:szCs w:val="18"/>
                <w:lang w:val="nl-BE" w:eastAsia="nl-BE"/>
              </w:rPr>
            </w:pPr>
            <w:r w:rsidRPr="00E56A39">
              <w:rPr>
                <w:rFonts w:cs="Calibri"/>
                <w:color w:val="000000"/>
                <w:sz w:val="18"/>
                <w:szCs w:val="18"/>
                <w:lang w:val="nl-BE" w:eastAsia="nl-BE"/>
              </w:rPr>
              <w:t>1.400.441</w:t>
            </w:r>
          </w:p>
        </w:tc>
        <w:tc>
          <w:tcPr>
            <w:tcW w:w="1965" w:type="dxa"/>
            <w:tcBorders>
              <w:top w:val="single" w:sz="4" w:space="0" w:color="000000"/>
              <w:left w:val="nil"/>
              <w:bottom w:val="nil"/>
              <w:right w:val="single" w:sz="4" w:space="0" w:color="000000"/>
            </w:tcBorders>
            <w:noWrap/>
            <w:vAlign w:val="bottom"/>
            <w:hideMark/>
          </w:tcPr>
          <w:p w14:paraId="0822A859" w14:textId="61658EA5" w:rsidR="00E56A39" w:rsidRPr="00E56A39" w:rsidRDefault="00E56A39" w:rsidP="00E56A39">
            <w:pPr>
              <w:jc w:val="right"/>
              <w:rPr>
                <w:rFonts w:cs="Calibri"/>
                <w:color w:val="000000"/>
                <w:sz w:val="18"/>
                <w:szCs w:val="18"/>
                <w:lang w:val="nl-BE" w:eastAsia="nl-BE"/>
              </w:rPr>
            </w:pPr>
            <w:r w:rsidRPr="00E56A39">
              <w:rPr>
                <w:rFonts w:cs="Calibri"/>
                <w:color w:val="000000"/>
                <w:sz w:val="18"/>
                <w:szCs w:val="18"/>
                <w:lang w:val="nl-BE" w:eastAsia="nl-BE"/>
              </w:rPr>
              <w:t>1.542.580.470</w:t>
            </w:r>
          </w:p>
        </w:tc>
      </w:tr>
      <w:tr w:rsidR="00E56A39" w:rsidRPr="00E56A39" w14:paraId="5C6A406F" w14:textId="77777777" w:rsidTr="00E56A39">
        <w:trPr>
          <w:trHeight w:val="288"/>
        </w:trPr>
        <w:tc>
          <w:tcPr>
            <w:tcW w:w="1417" w:type="dxa"/>
            <w:tcBorders>
              <w:top w:val="single" w:sz="4" w:space="0" w:color="000000"/>
              <w:left w:val="single" w:sz="4" w:space="0" w:color="000000"/>
              <w:bottom w:val="single" w:sz="4" w:space="0" w:color="000000"/>
              <w:right w:val="nil"/>
            </w:tcBorders>
            <w:noWrap/>
            <w:vAlign w:val="bottom"/>
            <w:hideMark/>
          </w:tcPr>
          <w:p w14:paraId="218E4B60" w14:textId="77777777" w:rsidR="00E56A39" w:rsidRPr="00E56A39" w:rsidRDefault="00E56A39" w:rsidP="00E56A39">
            <w:pPr>
              <w:jc w:val="left"/>
              <w:rPr>
                <w:rFonts w:cs="Calibri"/>
                <w:color w:val="000000"/>
                <w:sz w:val="18"/>
                <w:szCs w:val="18"/>
                <w:lang w:val="nl-BE" w:eastAsia="nl-BE"/>
              </w:rPr>
            </w:pPr>
            <w:r w:rsidRPr="00E56A39">
              <w:rPr>
                <w:rFonts w:cs="Calibri"/>
                <w:color w:val="000000"/>
                <w:sz w:val="18"/>
                <w:szCs w:val="18"/>
                <w:lang w:val="nl-BE" w:eastAsia="nl-BE"/>
              </w:rPr>
              <w:t>2025</w:t>
            </w:r>
          </w:p>
        </w:tc>
        <w:tc>
          <w:tcPr>
            <w:tcW w:w="1795" w:type="dxa"/>
            <w:tcBorders>
              <w:top w:val="single" w:sz="4" w:space="0" w:color="000000"/>
              <w:left w:val="nil"/>
              <w:bottom w:val="single" w:sz="4" w:space="0" w:color="000000"/>
              <w:right w:val="nil"/>
            </w:tcBorders>
            <w:noWrap/>
            <w:vAlign w:val="bottom"/>
            <w:hideMark/>
          </w:tcPr>
          <w:p w14:paraId="6AEE5DBE" w14:textId="7A5854E4" w:rsidR="00E56A39" w:rsidRPr="00E56A39" w:rsidRDefault="00E56A39" w:rsidP="00E56A39">
            <w:pPr>
              <w:jc w:val="right"/>
              <w:rPr>
                <w:rFonts w:cs="Calibri"/>
                <w:color w:val="000000"/>
                <w:sz w:val="18"/>
                <w:szCs w:val="18"/>
                <w:lang w:val="nl-BE" w:eastAsia="nl-BE"/>
              </w:rPr>
            </w:pPr>
            <w:r w:rsidRPr="00E56A39">
              <w:rPr>
                <w:rFonts w:cs="Calibri"/>
                <w:color w:val="000000"/>
                <w:sz w:val="18"/>
                <w:szCs w:val="18"/>
                <w:lang w:val="nl-BE" w:eastAsia="nl-BE"/>
              </w:rPr>
              <w:t>1.315.722.424</w:t>
            </w:r>
          </w:p>
        </w:tc>
        <w:tc>
          <w:tcPr>
            <w:tcW w:w="1796" w:type="dxa"/>
            <w:tcBorders>
              <w:top w:val="single" w:sz="4" w:space="0" w:color="000000"/>
              <w:left w:val="nil"/>
              <w:bottom w:val="single" w:sz="4" w:space="0" w:color="000000"/>
              <w:right w:val="nil"/>
            </w:tcBorders>
            <w:noWrap/>
            <w:vAlign w:val="bottom"/>
            <w:hideMark/>
          </w:tcPr>
          <w:p w14:paraId="558F20E2" w14:textId="6C8D8335" w:rsidR="00E56A39" w:rsidRPr="00E56A39" w:rsidRDefault="00E56A39" w:rsidP="00E56A39">
            <w:pPr>
              <w:jc w:val="right"/>
              <w:rPr>
                <w:rFonts w:cs="Calibri"/>
                <w:color w:val="000000"/>
                <w:sz w:val="18"/>
                <w:szCs w:val="18"/>
                <w:lang w:val="nl-BE" w:eastAsia="nl-BE"/>
              </w:rPr>
            </w:pPr>
            <w:r w:rsidRPr="00E56A39">
              <w:rPr>
                <w:rFonts w:cs="Calibri"/>
                <w:color w:val="000000"/>
                <w:sz w:val="18"/>
                <w:szCs w:val="18"/>
                <w:lang w:val="nl-BE" w:eastAsia="nl-BE"/>
              </w:rPr>
              <w:t>226.312.336</w:t>
            </w:r>
          </w:p>
        </w:tc>
        <w:tc>
          <w:tcPr>
            <w:tcW w:w="1796" w:type="dxa"/>
            <w:tcBorders>
              <w:top w:val="single" w:sz="4" w:space="0" w:color="000000"/>
              <w:left w:val="nil"/>
              <w:bottom w:val="single" w:sz="4" w:space="0" w:color="000000"/>
              <w:right w:val="nil"/>
            </w:tcBorders>
            <w:noWrap/>
            <w:vAlign w:val="bottom"/>
            <w:hideMark/>
          </w:tcPr>
          <w:p w14:paraId="6EED5671" w14:textId="1C2D9B3B" w:rsidR="00E56A39" w:rsidRPr="00E56A39" w:rsidRDefault="00E56A39" w:rsidP="00E56A39">
            <w:pPr>
              <w:jc w:val="right"/>
              <w:rPr>
                <w:rFonts w:cs="Calibri"/>
                <w:color w:val="000000"/>
                <w:sz w:val="18"/>
                <w:szCs w:val="18"/>
                <w:lang w:val="nl-BE" w:eastAsia="nl-BE"/>
              </w:rPr>
            </w:pPr>
            <w:r w:rsidRPr="00E56A39">
              <w:rPr>
                <w:rFonts w:cs="Calibri"/>
                <w:color w:val="000000"/>
                <w:sz w:val="18"/>
                <w:szCs w:val="18"/>
                <w:lang w:val="nl-BE" w:eastAsia="nl-BE"/>
              </w:rPr>
              <w:t>1.389.279</w:t>
            </w:r>
          </w:p>
        </w:tc>
        <w:tc>
          <w:tcPr>
            <w:tcW w:w="1965" w:type="dxa"/>
            <w:tcBorders>
              <w:top w:val="single" w:sz="4" w:space="0" w:color="000000"/>
              <w:left w:val="nil"/>
              <w:bottom w:val="single" w:sz="4" w:space="0" w:color="000000"/>
              <w:right w:val="single" w:sz="4" w:space="0" w:color="000000"/>
            </w:tcBorders>
            <w:noWrap/>
            <w:vAlign w:val="bottom"/>
            <w:hideMark/>
          </w:tcPr>
          <w:p w14:paraId="221A0CD0" w14:textId="149FD29D" w:rsidR="00E56A39" w:rsidRPr="00E56A39" w:rsidRDefault="00E56A39" w:rsidP="00E56A39">
            <w:pPr>
              <w:jc w:val="right"/>
              <w:rPr>
                <w:rFonts w:cs="Calibri"/>
                <w:color w:val="000000"/>
                <w:sz w:val="18"/>
                <w:szCs w:val="18"/>
                <w:lang w:val="nl-BE" w:eastAsia="nl-BE"/>
              </w:rPr>
            </w:pPr>
            <w:r w:rsidRPr="00E56A39">
              <w:rPr>
                <w:rFonts w:cs="Calibri"/>
                <w:color w:val="000000"/>
                <w:sz w:val="18"/>
                <w:szCs w:val="18"/>
                <w:lang w:val="nl-BE" w:eastAsia="nl-BE"/>
              </w:rPr>
              <w:t>1.543.424.039</w:t>
            </w:r>
          </w:p>
        </w:tc>
      </w:tr>
    </w:tbl>
    <w:p w14:paraId="3B2B2D24" w14:textId="77777777" w:rsidR="00E56A39" w:rsidRPr="00C8212B" w:rsidRDefault="00E56A39" w:rsidP="004F412B"/>
    <w:p w14:paraId="3DC27993" w14:textId="5C9C9667" w:rsidR="0022551E" w:rsidRPr="00776864" w:rsidRDefault="009A13C5" w:rsidP="00776864">
      <w:pPr>
        <w:pStyle w:val="Lijstalinea"/>
        <w:numPr>
          <w:ilvl w:val="0"/>
          <w:numId w:val="15"/>
        </w:numPr>
        <w:ind w:left="357" w:hanging="357"/>
      </w:pPr>
      <w:r w:rsidRPr="00776864">
        <w:t xml:space="preserve">-3. </w:t>
      </w:r>
      <w:r w:rsidR="00A15B2F" w:rsidRPr="00776864">
        <w:t xml:space="preserve">Het aantal </w:t>
      </w:r>
      <w:r w:rsidR="0051556C" w:rsidRPr="00776864">
        <w:t xml:space="preserve">aangevraagde </w:t>
      </w:r>
      <w:r w:rsidR="00A15B2F" w:rsidRPr="00776864">
        <w:t>afbetalingsplannen voor verkeersbelastingen werd opgenomen in onderstaande tabel, per aanslagjaar</w:t>
      </w:r>
      <w:r w:rsidR="00295A59" w:rsidRPr="00776864">
        <w:t>,</w:t>
      </w:r>
      <w:r w:rsidR="00A15B2F" w:rsidRPr="00776864">
        <w:t xml:space="preserve"> met het resultaat van de beslissing.</w:t>
      </w:r>
      <w:r w:rsidR="00DD2DC1" w:rsidRPr="00776864">
        <w:t xml:space="preserve"> Het aantal afbetalingsplannen is in verhouding tot het </w:t>
      </w:r>
      <w:r w:rsidR="0051556C" w:rsidRPr="00776864">
        <w:t xml:space="preserve">totale </w:t>
      </w:r>
      <w:r w:rsidR="00DD2DC1" w:rsidRPr="00776864">
        <w:t xml:space="preserve">aantal aanslagbiljetten </w:t>
      </w:r>
      <w:r w:rsidR="00295A59" w:rsidRPr="00776864">
        <w:t xml:space="preserve">(4,8 miljoen) </w:t>
      </w:r>
      <w:r w:rsidR="00DD2DC1" w:rsidRPr="00776864">
        <w:t xml:space="preserve">relatief gezien erg laag. </w:t>
      </w:r>
      <w:r w:rsidR="0051556C" w:rsidRPr="00776864">
        <w:t xml:space="preserve">Vorig jaar ging het bijvoorbeeld om zo’n 0,5% van het totaal. </w:t>
      </w:r>
      <w:r w:rsidR="00DD2DC1" w:rsidRPr="00776864">
        <w:t xml:space="preserve">In absolute cijfers is er wel een duidelijke stijging in </w:t>
      </w:r>
      <w:r w:rsidR="0051556C" w:rsidRPr="00776864">
        <w:t xml:space="preserve">het aantal aanvragen te merken. Die stijging zien we met name in </w:t>
      </w:r>
      <w:r w:rsidR="00DD2DC1" w:rsidRPr="00776864">
        <w:t>de nasl</w:t>
      </w:r>
      <w:r w:rsidR="00295A59" w:rsidRPr="00776864">
        <w:t>eep</w:t>
      </w:r>
      <w:r w:rsidR="00DD2DC1" w:rsidRPr="00776864">
        <w:t xml:space="preserve"> van de corona</w:t>
      </w:r>
      <w:r w:rsidR="00295A59" w:rsidRPr="00776864">
        <w:t>pandemie</w:t>
      </w:r>
      <w:r w:rsidR="00DD2DC1" w:rsidRPr="00776864">
        <w:t xml:space="preserve"> en </w:t>
      </w:r>
      <w:r w:rsidR="0051556C" w:rsidRPr="00776864">
        <w:t xml:space="preserve">ook </w:t>
      </w:r>
      <w:r w:rsidR="00DD2DC1" w:rsidRPr="00776864">
        <w:t xml:space="preserve">de invloed van de energiecrisis en gestegen levensduurte </w:t>
      </w:r>
      <w:r w:rsidR="0051556C" w:rsidRPr="00776864">
        <w:t xml:space="preserve">is </w:t>
      </w:r>
      <w:r w:rsidR="00DD2DC1" w:rsidRPr="00776864">
        <w:t xml:space="preserve">merkbaar. </w:t>
      </w:r>
      <w:r w:rsidR="0051556C" w:rsidRPr="00776864">
        <w:t>Bovendien zijn</w:t>
      </w:r>
      <w:r w:rsidR="00DD2DC1" w:rsidRPr="00776864">
        <w:t xml:space="preserve"> de criteria om afbetalingsplannen toe te kennen sinds 2024 </w:t>
      </w:r>
      <w:r w:rsidR="0051556C" w:rsidRPr="00776864">
        <w:t xml:space="preserve">versoepeld, waardoor er sindsdien </w:t>
      </w:r>
      <w:r w:rsidR="00DD2DC1" w:rsidRPr="00776864">
        <w:t xml:space="preserve">meer aanvragen voor afbetalingsplannen ingewilligd </w:t>
      </w:r>
      <w:r w:rsidR="0051556C" w:rsidRPr="00776864">
        <w:t xml:space="preserve">worden </w:t>
      </w:r>
      <w:r w:rsidR="00DD2DC1" w:rsidRPr="00776864">
        <w:t xml:space="preserve">in vergelijking met de voorgaande jaren. </w:t>
      </w:r>
      <w:r w:rsidR="002F1712" w:rsidRPr="00776864">
        <w:t xml:space="preserve">De stijging van het aantal ingewilligde plannen weerspiegelt dus niet </w:t>
      </w:r>
      <w:r w:rsidR="0051556C" w:rsidRPr="00776864">
        <w:t xml:space="preserve">zozeer </w:t>
      </w:r>
      <w:r w:rsidR="002F1712" w:rsidRPr="00776864">
        <w:t xml:space="preserve">een toename van betalingsproblemen, maar </w:t>
      </w:r>
      <w:r w:rsidR="0051556C" w:rsidRPr="00776864">
        <w:t xml:space="preserve">vooral </w:t>
      </w:r>
      <w:r w:rsidR="002F1712" w:rsidRPr="00776864">
        <w:t>een bewust laagdrempeliger en klantgerichter invorderingsbeleid.</w:t>
      </w:r>
      <w:r w:rsidR="00C06D56">
        <w:tab/>
      </w:r>
      <w:r w:rsidR="002F1712" w:rsidRPr="00776864">
        <w:br/>
      </w:r>
    </w:p>
    <w:tbl>
      <w:tblPr>
        <w:tblW w:w="7513" w:type="dxa"/>
        <w:tblInd w:w="279" w:type="dxa"/>
        <w:tblCellMar>
          <w:left w:w="70" w:type="dxa"/>
          <w:right w:w="70" w:type="dxa"/>
        </w:tblCellMar>
        <w:tblLook w:val="04A0" w:firstRow="1" w:lastRow="0" w:firstColumn="1" w:lastColumn="0" w:noHBand="0" w:noVBand="1"/>
      </w:tblPr>
      <w:tblGrid>
        <w:gridCol w:w="1701"/>
        <w:gridCol w:w="1843"/>
        <w:gridCol w:w="2126"/>
        <w:gridCol w:w="1843"/>
      </w:tblGrid>
      <w:tr w:rsidR="0022551E" w:rsidRPr="0022551E" w14:paraId="5ED3EBB8" w14:textId="77777777" w:rsidTr="0022551E">
        <w:trPr>
          <w:trHeight w:val="288"/>
        </w:trPr>
        <w:tc>
          <w:tcPr>
            <w:tcW w:w="1701" w:type="dxa"/>
            <w:tcBorders>
              <w:top w:val="single" w:sz="4" w:space="0" w:color="000000"/>
              <w:left w:val="single" w:sz="4" w:space="0" w:color="000000"/>
              <w:bottom w:val="nil"/>
              <w:right w:val="nil"/>
            </w:tcBorders>
            <w:noWrap/>
            <w:vAlign w:val="bottom"/>
            <w:hideMark/>
          </w:tcPr>
          <w:p w14:paraId="14410F8E" w14:textId="387DE9D7" w:rsidR="0022551E" w:rsidRPr="0022551E" w:rsidRDefault="0022551E" w:rsidP="0022551E">
            <w:pPr>
              <w:jc w:val="left"/>
              <w:rPr>
                <w:b/>
                <w:bCs/>
                <w:sz w:val="18"/>
                <w:szCs w:val="18"/>
                <w:lang w:val="nl-BE" w:eastAsia="nl-BE"/>
              </w:rPr>
            </w:pPr>
            <w:r w:rsidRPr="0022551E">
              <w:rPr>
                <w:b/>
                <w:bCs/>
                <w:sz w:val="18"/>
                <w:szCs w:val="18"/>
                <w:lang w:val="nl-BE" w:eastAsia="nl-BE"/>
              </w:rPr>
              <w:t>Aanslagjaar</w:t>
            </w:r>
          </w:p>
        </w:tc>
        <w:tc>
          <w:tcPr>
            <w:tcW w:w="1843" w:type="dxa"/>
            <w:tcBorders>
              <w:top w:val="single" w:sz="4" w:space="0" w:color="000000"/>
              <w:left w:val="nil"/>
              <w:bottom w:val="nil"/>
              <w:right w:val="nil"/>
            </w:tcBorders>
            <w:noWrap/>
            <w:vAlign w:val="bottom"/>
            <w:hideMark/>
          </w:tcPr>
          <w:p w14:paraId="1EFE8957" w14:textId="77777777" w:rsidR="0022551E" w:rsidRPr="0022551E" w:rsidRDefault="0022551E" w:rsidP="0022551E">
            <w:pPr>
              <w:jc w:val="right"/>
              <w:rPr>
                <w:b/>
                <w:bCs/>
                <w:sz w:val="18"/>
                <w:szCs w:val="18"/>
                <w:lang w:val="nl-BE" w:eastAsia="nl-BE"/>
              </w:rPr>
            </w:pPr>
            <w:r w:rsidRPr="0022551E">
              <w:rPr>
                <w:b/>
                <w:bCs/>
                <w:sz w:val="18"/>
                <w:szCs w:val="18"/>
                <w:lang w:val="nl-BE" w:eastAsia="nl-BE"/>
              </w:rPr>
              <w:t>Ingewilligd</w:t>
            </w:r>
          </w:p>
        </w:tc>
        <w:tc>
          <w:tcPr>
            <w:tcW w:w="2126" w:type="dxa"/>
            <w:tcBorders>
              <w:top w:val="single" w:sz="4" w:space="0" w:color="000000"/>
              <w:left w:val="nil"/>
              <w:bottom w:val="nil"/>
              <w:right w:val="nil"/>
            </w:tcBorders>
            <w:noWrap/>
            <w:vAlign w:val="bottom"/>
            <w:hideMark/>
          </w:tcPr>
          <w:p w14:paraId="25E77E69" w14:textId="028D0BE1" w:rsidR="0022551E" w:rsidRPr="0022551E" w:rsidRDefault="0022551E" w:rsidP="0022551E">
            <w:pPr>
              <w:jc w:val="right"/>
              <w:rPr>
                <w:b/>
                <w:bCs/>
                <w:sz w:val="18"/>
                <w:szCs w:val="18"/>
                <w:lang w:val="nl-BE" w:eastAsia="nl-BE"/>
              </w:rPr>
            </w:pPr>
            <w:r w:rsidRPr="0022551E">
              <w:rPr>
                <w:b/>
                <w:bCs/>
                <w:sz w:val="18"/>
                <w:szCs w:val="18"/>
                <w:lang w:val="nl-BE" w:eastAsia="nl-BE"/>
              </w:rPr>
              <w:t xml:space="preserve">Niet </w:t>
            </w:r>
            <w:r>
              <w:rPr>
                <w:b/>
                <w:bCs/>
                <w:sz w:val="18"/>
                <w:szCs w:val="18"/>
                <w:lang w:val="nl-BE" w:eastAsia="nl-BE"/>
              </w:rPr>
              <w:t>i</w:t>
            </w:r>
            <w:r w:rsidRPr="0022551E">
              <w:rPr>
                <w:b/>
                <w:bCs/>
                <w:sz w:val="18"/>
                <w:szCs w:val="18"/>
                <w:lang w:val="nl-BE" w:eastAsia="nl-BE"/>
              </w:rPr>
              <w:t>ngewilligd</w:t>
            </w:r>
          </w:p>
        </w:tc>
        <w:tc>
          <w:tcPr>
            <w:tcW w:w="1843" w:type="dxa"/>
            <w:tcBorders>
              <w:top w:val="single" w:sz="4" w:space="0" w:color="000000"/>
              <w:left w:val="nil"/>
              <w:bottom w:val="nil"/>
              <w:right w:val="single" w:sz="4" w:space="0" w:color="000000"/>
            </w:tcBorders>
            <w:noWrap/>
            <w:vAlign w:val="bottom"/>
            <w:hideMark/>
          </w:tcPr>
          <w:p w14:paraId="3CE957A3" w14:textId="224D12A8" w:rsidR="0022551E" w:rsidRPr="0022551E" w:rsidRDefault="0022551E" w:rsidP="0022551E">
            <w:pPr>
              <w:jc w:val="right"/>
              <w:rPr>
                <w:b/>
                <w:bCs/>
                <w:sz w:val="18"/>
                <w:szCs w:val="18"/>
                <w:lang w:val="nl-BE" w:eastAsia="nl-BE"/>
              </w:rPr>
            </w:pPr>
            <w:r>
              <w:rPr>
                <w:b/>
                <w:bCs/>
                <w:sz w:val="18"/>
                <w:szCs w:val="18"/>
                <w:lang w:val="nl-BE" w:eastAsia="nl-BE"/>
              </w:rPr>
              <w:t>T</w:t>
            </w:r>
            <w:r w:rsidRPr="0022551E">
              <w:rPr>
                <w:b/>
                <w:bCs/>
                <w:sz w:val="18"/>
                <w:szCs w:val="18"/>
                <w:lang w:val="nl-BE" w:eastAsia="nl-BE"/>
              </w:rPr>
              <w:t>otaal</w:t>
            </w:r>
          </w:p>
        </w:tc>
      </w:tr>
      <w:tr w:rsidR="0022551E" w:rsidRPr="0022551E" w14:paraId="7404B331" w14:textId="77777777" w:rsidTr="0022551E">
        <w:trPr>
          <w:trHeight w:val="288"/>
        </w:trPr>
        <w:tc>
          <w:tcPr>
            <w:tcW w:w="1701" w:type="dxa"/>
            <w:tcBorders>
              <w:top w:val="single" w:sz="4" w:space="0" w:color="000000"/>
              <w:left w:val="single" w:sz="4" w:space="0" w:color="000000"/>
              <w:bottom w:val="nil"/>
              <w:right w:val="nil"/>
            </w:tcBorders>
            <w:noWrap/>
            <w:vAlign w:val="bottom"/>
            <w:hideMark/>
          </w:tcPr>
          <w:p w14:paraId="0306D414" w14:textId="77777777" w:rsidR="0022551E" w:rsidRPr="0022551E" w:rsidRDefault="0022551E" w:rsidP="0022551E">
            <w:pPr>
              <w:jc w:val="left"/>
              <w:rPr>
                <w:color w:val="000000"/>
                <w:sz w:val="18"/>
                <w:szCs w:val="18"/>
                <w:lang w:val="nl-BE" w:eastAsia="nl-BE"/>
              </w:rPr>
            </w:pPr>
            <w:r w:rsidRPr="0022551E">
              <w:rPr>
                <w:color w:val="000000"/>
                <w:sz w:val="18"/>
                <w:szCs w:val="18"/>
                <w:lang w:val="nl-BE" w:eastAsia="nl-BE"/>
              </w:rPr>
              <w:t>2020</w:t>
            </w:r>
          </w:p>
        </w:tc>
        <w:tc>
          <w:tcPr>
            <w:tcW w:w="1843" w:type="dxa"/>
            <w:tcBorders>
              <w:top w:val="single" w:sz="4" w:space="0" w:color="000000"/>
              <w:left w:val="nil"/>
              <w:bottom w:val="nil"/>
              <w:right w:val="nil"/>
            </w:tcBorders>
            <w:noWrap/>
            <w:vAlign w:val="bottom"/>
            <w:hideMark/>
          </w:tcPr>
          <w:p w14:paraId="3802BBC3" w14:textId="3BB1A53F" w:rsidR="0022551E" w:rsidRPr="0022551E" w:rsidRDefault="0022551E" w:rsidP="0022551E">
            <w:pPr>
              <w:jc w:val="right"/>
              <w:rPr>
                <w:color w:val="000000"/>
                <w:sz w:val="18"/>
                <w:szCs w:val="18"/>
                <w:lang w:val="nl-BE" w:eastAsia="nl-BE"/>
              </w:rPr>
            </w:pPr>
            <w:r w:rsidRPr="0022551E">
              <w:rPr>
                <w:color w:val="000000"/>
                <w:sz w:val="18"/>
                <w:szCs w:val="18"/>
                <w:lang w:val="nl-BE" w:eastAsia="nl-BE"/>
              </w:rPr>
              <w:t>8.975</w:t>
            </w:r>
          </w:p>
        </w:tc>
        <w:tc>
          <w:tcPr>
            <w:tcW w:w="2126" w:type="dxa"/>
            <w:tcBorders>
              <w:top w:val="single" w:sz="4" w:space="0" w:color="000000"/>
              <w:left w:val="nil"/>
              <w:bottom w:val="nil"/>
              <w:right w:val="nil"/>
            </w:tcBorders>
            <w:noWrap/>
            <w:vAlign w:val="bottom"/>
            <w:hideMark/>
          </w:tcPr>
          <w:p w14:paraId="5BEA0008" w14:textId="1B3570B6" w:rsidR="0022551E" w:rsidRPr="0022551E" w:rsidRDefault="0022551E" w:rsidP="0022551E">
            <w:pPr>
              <w:jc w:val="right"/>
              <w:rPr>
                <w:color w:val="000000"/>
                <w:sz w:val="18"/>
                <w:szCs w:val="18"/>
                <w:lang w:val="nl-BE" w:eastAsia="nl-BE"/>
              </w:rPr>
            </w:pPr>
            <w:r w:rsidRPr="0022551E">
              <w:rPr>
                <w:color w:val="000000"/>
                <w:sz w:val="18"/>
                <w:szCs w:val="18"/>
                <w:lang w:val="nl-BE" w:eastAsia="nl-BE"/>
              </w:rPr>
              <w:t>4.732</w:t>
            </w:r>
          </w:p>
        </w:tc>
        <w:tc>
          <w:tcPr>
            <w:tcW w:w="1843" w:type="dxa"/>
            <w:tcBorders>
              <w:top w:val="single" w:sz="4" w:space="0" w:color="000000"/>
              <w:left w:val="nil"/>
              <w:bottom w:val="nil"/>
              <w:right w:val="single" w:sz="4" w:space="0" w:color="000000"/>
            </w:tcBorders>
            <w:noWrap/>
            <w:vAlign w:val="bottom"/>
            <w:hideMark/>
          </w:tcPr>
          <w:p w14:paraId="3B101BBB" w14:textId="3BC741ED" w:rsidR="0022551E" w:rsidRPr="0022551E" w:rsidRDefault="0022551E" w:rsidP="0022551E">
            <w:pPr>
              <w:jc w:val="right"/>
              <w:rPr>
                <w:color w:val="000000"/>
                <w:sz w:val="18"/>
                <w:szCs w:val="18"/>
                <w:lang w:val="nl-BE" w:eastAsia="nl-BE"/>
              </w:rPr>
            </w:pPr>
            <w:r w:rsidRPr="0022551E">
              <w:rPr>
                <w:color w:val="000000"/>
                <w:sz w:val="18"/>
                <w:szCs w:val="18"/>
                <w:lang w:val="nl-BE" w:eastAsia="nl-BE"/>
              </w:rPr>
              <w:t>13.707</w:t>
            </w:r>
          </w:p>
        </w:tc>
      </w:tr>
      <w:tr w:rsidR="0022551E" w:rsidRPr="0022551E" w14:paraId="67C34FE1" w14:textId="77777777" w:rsidTr="0022551E">
        <w:trPr>
          <w:trHeight w:val="288"/>
        </w:trPr>
        <w:tc>
          <w:tcPr>
            <w:tcW w:w="1701" w:type="dxa"/>
            <w:tcBorders>
              <w:top w:val="single" w:sz="4" w:space="0" w:color="000000"/>
              <w:left w:val="single" w:sz="4" w:space="0" w:color="000000"/>
              <w:bottom w:val="nil"/>
              <w:right w:val="nil"/>
            </w:tcBorders>
            <w:noWrap/>
            <w:vAlign w:val="bottom"/>
            <w:hideMark/>
          </w:tcPr>
          <w:p w14:paraId="735B4BF8" w14:textId="77777777" w:rsidR="0022551E" w:rsidRPr="0022551E" w:rsidRDefault="0022551E" w:rsidP="0022551E">
            <w:pPr>
              <w:jc w:val="left"/>
              <w:rPr>
                <w:color w:val="000000"/>
                <w:sz w:val="18"/>
                <w:szCs w:val="18"/>
                <w:lang w:val="nl-BE" w:eastAsia="nl-BE"/>
              </w:rPr>
            </w:pPr>
            <w:r w:rsidRPr="0022551E">
              <w:rPr>
                <w:color w:val="000000"/>
                <w:sz w:val="18"/>
                <w:szCs w:val="18"/>
                <w:lang w:val="nl-BE" w:eastAsia="nl-BE"/>
              </w:rPr>
              <w:t>2021</w:t>
            </w:r>
          </w:p>
        </w:tc>
        <w:tc>
          <w:tcPr>
            <w:tcW w:w="1843" w:type="dxa"/>
            <w:tcBorders>
              <w:top w:val="single" w:sz="4" w:space="0" w:color="000000"/>
              <w:left w:val="nil"/>
              <w:bottom w:val="nil"/>
              <w:right w:val="nil"/>
            </w:tcBorders>
            <w:noWrap/>
            <w:vAlign w:val="bottom"/>
            <w:hideMark/>
          </w:tcPr>
          <w:p w14:paraId="107E5BF6" w14:textId="6A93F2B6" w:rsidR="0022551E" w:rsidRPr="0022551E" w:rsidRDefault="0022551E" w:rsidP="0022551E">
            <w:pPr>
              <w:jc w:val="right"/>
              <w:rPr>
                <w:color w:val="000000"/>
                <w:sz w:val="18"/>
                <w:szCs w:val="18"/>
                <w:lang w:val="nl-BE" w:eastAsia="nl-BE"/>
              </w:rPr>
            </w:pPr>
            <w:r w:rsidRPr="0022551E">
              <w:rPr>
                <w:color w:val="000000"/>
                <w:sz w:val="18"/>
                <w:szCs w:val="18"/>
                <w:lang w:val="nl-BE" w:eastAsia="nl-BE"/>
              </w:rPr>
              <w:t>8.118</w:t>
            </w:r>
          </w:p>
        </w:tc>
        <w:tc>
          <w:tcPr>
            <w:tcW w:w="2126" w:type="dxa"/>
            <w:tcBorders>
              <w:top w:val="single" w:sz="4" w:space="0" w:color="000000"/>
              <w:left w:val="nil"/>
              <w:bottom w:val="nil"/>
              <w:right w:val="nil"/>
            </w:tcBorders>
            <w:noWrap/>
            <w:vAlign w:val="bottom"/>
            <w:hideMark/>
          </w:tcPr>
          <w:p w14:paraId="5A9AB160" w14:textId="4AEC7CA7" w:rsidR="0022551E" w:rsidRPr="0022551E" w:rsidRDefault="0022551E" w:rsidP="0022551E">
            <w:pPr>
              <w:jc w:val="right"/>
              <w:rPr>
                <w:color w:val="000000"/>
                <w:sz w:val="18"/>
                <w:szCs w:val="18"/>
                <w:lang w:val="nl-BE" w:eastAsia="nl-BE"/>
              </w:rPr>
            </w:pPr>
            <w:r w:rsidRPr="0022551E">
              <w:rPr>
                <w:color w:val="000000"/>
                <w:sz w:val="18"/>
                <w:szCs w:val="18"/>
                <w:lang w:val="nl-BE" w:eastAsia="nl-BE"/>
              </w:rPr>
              <w:t>6.937</w:t>
            </w:r>
          </w:p>
        </w:tc>
        <w:tc>
          <w:tcPr>
            <w:tcW w:w="1843" w:type="dxa"/>
            <w:tcBorders>
              <w:top w:val="single" w:sz="4" w:space="0" w:color="000000"/>
              <w:left w:val="nil"/>
              <w:bottom w:val="nil"/>
              <w:right w:val="single" w:sz="4" w:space="0" w:color="000000"/>
            </w:tcBorders>
            <w:noWrap/>
            <w:vAlign w:val="bottom"/>
            <w:hideMark/>
          </w:tcPr>
          <w:p w14:paraId="7B9394E0" w14:textId="18BD4980" w:rsidR="0022551E" w:rsidRPr="0022551E" w:rsidRDefault="0022551E" w:rsidP="0022551E">
            <w:pPr>
              <w:jc w:val="right"/>
              <w:rPr>
                <w:color w:val="000000"/>
                <w:sz w:val="18"/>
                <w:szCs w:val="18"/>
                <w:lang w:val="nl-BE" w:eastAsia="nl-BE"/>
              </w:rPr>
            </w:pPr>
            <w:r w:rsidRPr="0022551E">
              <w:rPr>
                <w:color w:val="000000"/>
                <w:sz w:val="18"/>
                <w:szCs w:val="18"/>
                <w:lang w:val="nl-BE" w:eastAsia="nl-BE"/>
              </w:rPr>
              <w:t>15.055</w:t>
            </w:r>
          </w:p>
        </w:tc>
      </w:tr>
      <w:tr w:rsidR="0022551E" w:rsidRPr="0022551E" w14:paraId="26E7D980" w14:textId="77777777" w:rsidTr="0022551E">
        <w:trPr>
          <w:trHeight w:val="288"/>
        </w:trPr>
        <w:tc>
          <w:tcPr>
            <w:tcW w:w="1701" w:type="dxa"/>
            <w:tcBorders>
              <w:top w:val="single" w:sz="4" w:space="0" w:color="000000"/>
              <w:left w:val="single" w:sz="4" w:space="0" w:color="000000"/>
              <w:bottom w:val="nil"/>
              <w:right w:val="nil"/>
            </w:tcBorders>
            <w:noWrap/>
            <w:vAlign w:val="bottom"/>
            <w:hideMark/>
          </w:tcPr>
          <w:p w14:paraId="4ADC6A57" w14:textId="77777777" w:rsidR="0022551E" w:rsidRPr="0022551E" w:rsidRDefault="0022551E" w:rsidP="0022551E">
            <w:pPr>
              <w:jc w:val="left"/>
              <w:rPr>
                <w:color w:val="000000"/>
                <w:sz w:val="18"/>
                <w:szCs w:val="18"/>
                <w:lang w:val="nl-BE" w:eastAsia="nl-BE"/>
              </w:rPr>
            </w:pPr>
            <w:r w:rsidRPr="0022551E">
              <w:rPr>
                <w:color w:val="000000"/>
                <w:sz w:val="18"/>
                <w:szCs w:val="18"/>
                <w:lang w:val="nl-BE" w:eastAsia="nl-BE"/>
              </w:rPr>
              <w:t>2022</w:t>
            </w:r>
          </w:p>
        </w:tc>
        <w:tc>
          <w:tcPr>
            <w:tcW w:w="1843" w:type="dxa"/>
            <w:tcBorders>
              <w:top w:val="single" w:sz="4" w:space="0" w:color="000000"/>
              <w:left w:val="nil"/>
              <w:bottom w:val="nil"/>
              <w:right w:val="nil"/>
            </w:tcBorders>
            <w:noWrap/>
            <w:vAlign w:val="bottom"/>
            <w:hideMark/>
          </w:tcPr>
          <w:p w14:paraId="04E87243" w14:textId="1704C911" w:rsidR="0022551E" w:rsidRPr="0022551E" w:rsidRDefault="0022551E" w:rsidP="0022551E">
            <w:pPr>
              <w:jc w:val="right"/>
              <w:rPr>
                <w:color w:val="000000"/>
                <w:sz w:val="18"/>
                <w:szCs w:val="18"/>
                <w:lang w:val="nl-BE" w:eastAsia="nl-BE"/>
              </w:rPr>
            </w:pPr>
            <w:r w:rsidRPr="0022551E">
              <w:rPr>
                <w:color w:val="000000"/>
                <w:sz w:val="18"/>
                <w:szCs w:val="18"/>
                <w:lang w:val="nl-BE" w:eastAsia="nl-BE"/>
              </w:rPr>
              <w:t>7.782</w:t>
            </w:r>
          </w:p>
        </w:tc>
        <w:tc>
          <w:tcPr>
            <w:tcW w:w="2126" w:type="dxa"/>
            <w:tcBorders>
              <w:top w:val="single" w:sz="4" w:space="0" w:color="000000"/>
              <w:left w:val="nil"/>
              <w:bottom w:val="nil"/>
              <w:right w:val="nil"/>
            </w:tcBorders>
            <w:noWrap/>
            <w:vAlign w:val="bottom"/>
            <w:hideMark/>
          </w:tcPr>
          <w:p w14:paraId="647421F8" w14:textId="3E124BE0" w:rsidR="0022551E" w:rsidRPr="0022551E" w:rsidRDefault="0022551E" w:rsidP="0022551E">
            <w:pPr>
              <w:jc w:val="right"/>
              <w:rPr>
                <w:color w:val="000000"/>
                <w:sz w:val="18"/>
                <w:szCs w:val="18"/>
                <w:lang w:val="nl-BE" w:eastAsia="nl-BE"/>
              </w:rPr>
            </w:pPr>
            <w:r w:rsidRPr="0022551E">
              <w:rPr>
                <w:color w:val="000000"/>
                <w:sz w:val="18"/>
                <w:szCs w:val="18"/>
                <w:lang w:val="nl-BE" w:eastAsia="nl-BE"/>
              </w:rPr>
              <w:t>8.078</w:t>
            </w:r>
          </w:p>
        </w:tc>
        <w:tc>
          <w:tcPr>
            <w:tcW w:w="1843" w:type="dxa"/>
            <w:tcBorders>
              <w:top w:val="single" w:sz="4" w:space="0" w:color="000000"/>
              <w:left w:val="nil"/>
              <w:bottom w:val="nil"/>
              <w:right w:val="single" w:sz="4" w:space="0" w:color="000000"/>
            </w:tcBorders>
            <w:noWrap/>
            <w:vAlign w:val="bottom"/>
            <w:hideMark/>
          </w:tcPr>
          <w:p w14:paraId="564818AF" w14:textId="13683C89" w:rsidR="0022551E" w:rsidRPr="0022551E" w:rsidRDefault="0022551E" w:rsidP="0022551E">
            <w:pPr>
              <w:jc w:val="right"/>
              <w:rPr>
                <w:color w:val="000000"/>
                <w:sz w:val="18"/>
                <w:szCs w:val="18"/>
                <w:lang w:val="nl-BE" w:eastAsia="nl-BE"/>
              </w:rPr>
            </w:pPr>
            <w:r w:rsidRPr="0022551E">
              <w:rPr>
                <w:color w:val="000000"/>
                <w:sz w:val="18"/>
                <w:szCs w:val="18"/>
                <w:lang w:val="nl-BE" w:eastAsia="nl-BE"/>
              </w:rPr>
              <w:t>15.860</w:t>
            </w:r>
          </w:p>
        </w:tc>
      </w:tr>
      <w:tr w:rsidR="0022551E" w:rsidRPr="0022551E" w14:paraId="727A408C" w14:textId="77777777" w:rsidTr="0022551E">
        <w:trPr>
          <w:trHeight w:val="288"/>
        </w:trPr>
        <w:tc>
          <w:tcPr>
            <w:tcW w:w="1701" w:type="dxa"/>
            <w:tcBorders>
              <w:top w:val="single" w:sz="4" w:space="0" w:color="000000"/>
              <w:left w:val="single" w:sz="4" w:space="0" w:color="000000"/>
              <w:bottom w:val="nil"/>
              <w:right w:val="nil"/>
            </w:tcBorders>
            <w:noWrap/>
            <w:vAlign w:val="bottom"/>
            <w:hideMark/>
          </w:tcPr>
          <w:p w14:paraId="278FDADE" w14:textId="77777777" w:rsidR="0022551E" w:rsidRPr="0022551E" w:rsidRDefault="0022551E" w:rsidP="0022551E">
            <w:pPr>
              <w:jc w:val="left"/>
              <w:rPr>
                <w:color w:val="000000"/>
                <w:sz w:val="18"/>
                <w:szCs w:val="18"/>
                <w:lang w:val="nl-BE" w:eastAsia="nl-BE"/>
              </w:rPr>
            </w:pPr>
            <w:r w:rsidRPr="0022551E">
              <w:rPr>
                <w:color w:val="000000"/>
                <w:sz w:val="18"/>
                <w:szCs w:val="18"/>
                <w:lang w:val="nl-BE" w:eastAsia="nl-BE"/>
              </w:rPr>
              <w:t>2023</w:t>
            </w:r>
          </w:p>
        </w:tc>
        <w:tc>
          <w:tcPr>
            <w:tcW w:w="1843" w:type="dxa"/>
            <w:tcBorders>
              <w:top w:val="single" w:sz="4" w:space="0" w:color="000000"/>
              <w:left w:val="nil"/>
              <w:bottom w:val="nil"/>
              <w:right w:val="nil"/>
            </w:tcBorders>
            <w:noWrap/>
            <w:vAlign w:val="bottom"/>
            <w:hideMark/>
          </w:tcPr>
          <w:p w14:paraId="54CC488B" w14:textId="3A590248" w:rsidR="0022551E" w:rsidRPr="0022551E" w:rsidRDefault="0022551E" w:rsidP="0022551E">
            <w:pPr>
              <w:jc w:val="right"/>
              <w:rPr>
                <w:color w:val="000000"/>
                <w:sz w:val="18"/>
                <w:szCs w:val="18"/>
                <w:lang w:val="nl-BE" w:eastAsia="nl-BE"/>
              </w:rPr>
            </w:pPr>
            <w:r w:rsidRPr="0022551E">
              <w:rPr>
                <w:color w:val="000000"/>
                <w:sz w:val="18"/>
                <w:szCs w:val="18"/>
                <w:lang w:val="nl-BE" w:eastAsia="nl-BE"/>
              </w:rPr>
              <w:t>10.698</w:t>
            </w:r>
          </w:p>
        </w:tc>
        <w:tc>
          <w:tcPr>
            <w:tcW w:w="2126" w:type="dxa"/>
            <w:tcBorders>
              <w:top w:val="single" w:sz="4" w:space="0" w:color="000000"/>
              <w:left w:val="nil"/>
              <w:bottom w:val="nil"/>
              <w:right w:val="nil"/>
            </w:tcBorders>
            <w:noWrap/>
            <w:vAlign w:val="bottom"/>
            <w:hideMark/>
          </w:tcPr>
          <w:p w14:paraId="3C07EACB" w14:textId="6C9A3982" w:rsidR="0022551E" w:rsidRPr="0022551E" w:rsidRDefault="0022551E" w:rsidP="0022551E">
            <w:pPr>
              <w:jc w:val="right"/>
              <w:rPr>
                <w:color w:val="000000"/>
                <w:sz w:val="18"/>
                <w:szCs w:val="18"/>
                <w:lang w:val="nl-BE" w:eastAsia="nl-BE"/>
              </w:rPr>
            </w:pPr>
            <w:r w:rsidRPr="0022551E">
              <w:rPr>
                <w:color w:val="000000"/>
                <w:sz w:val="18"/>
                <w:szCs w:val="18"/>
                <w:lang w:val="nl-BE" w:eastAsia="nl-BE"/>
              </w:rPr>
              <w:t>7.322</w:t>
            </w:r>
          </w:p>
        </w:tc>
        <w:tc>
          <w:tcPr>
            <w:tcW w:w="1843" w:type="dxa"/>
            <w:tcBorders>
              <w:top w:val="single" w:sz="4" w:space="0" w:color="000000"/>
              <w:left w:val="nil"/>
              <w:bottom w:val="nil"/>
              <w:right w:val="single" w:sz="4" w:space="0" w:color="000000"/>
            </w:tcBorders>
            <w:noWrap/>
            <w:vAlign w:val="bottom"/>
            <w:hideMark/>
          </w:tcPr>
          <w:p w14:paraId="16C72F9C" w14:textId="13A56F11" w:rsidR="0022551E" w:rsidRPr="0022551E" w:rsidRDefault="0022551E" w:rsidP="0022551E">
            <w:pPr>
              <w:jc w:val="right"/>
              <w:rPr>
                <w:color w:val="000000"/>
                <w:sz w:val="18"/>
                <w:szCs w:val="18"/>
                <w:lang w:val="nl-BE" w:eastAsia="nl-BE"/>
              </w:rPr>
            </w:pPr>
            <w:r w:rsidRPr="0022551E">
              <w:rPr>
                <w:color w:val="000000"/>
                <w:sz w:val="18"/>
                <w:szCs w:val="18"/>
                <w:lang w:val="nl-BE" w:eastAsia="nl-BE"/>
              </w:rPr>
              <w:t>18.020</w:t>
            </w:r>
          </w:p>
        </w:tc>
      </w:tr>
      <w:tr w:rsidR="0022551E" w:rsidRPr="0022551E" w14:paraId="31BD04BF" w14:textId="77777777" w:rsidTr="0022551E">
        <w:trPr>
          <w:trHeight w:val="288"/>
        </w:trPr>
        <w:tc>
          <w:tcPr>
            <w:tcW w:w="1701" w:type="dxa"/>
            <w:tcBorders>
              <w:top w:val="single" w:sz="4" w:space="0" w:color="000000"/>
              <w:left w:val="single" w:sz="4" w:space="0" w:color="000000"/>
              <w:bottom w:val="nil"/>
              <w:right w:val="nil"/>
            </w:tcBorders>
            <w:noWrap/>
            <w:vAlign w:val="bottom"/>
            <w:hideMark/>
          </w:tcPr>
          <w:p w14:paraId="570B22A2" w14:textId="77777777" w:rsidR="0022551E" w:rsidRPr="0022551E" w:rsidRDefault="0022551E" w:rsidP="0022551E">
            <w:pPr>
              <w:jc w:val="left"/>
              <w:rPr>
                <w:color w:val="000000"/>
                <w:sz w:val="18"/>
                <w:szCs w:val="18"/>
                <w:lang w:val="nl-BE" w:eastAsia="nl-BE"/>
              </w:rPr>
            </w:pPr>
            <w:r w:rsidRPr="0022551E">
              <w:rPr>
                <w:color w:val="000000"/>
                <w:sz w:val="18"/>
                <w:szCs w:val="18"/>
                <w:lang w:val="nl-BE" w:eastAsia="nl-BE"/>
              </w:rPr>
              <w:t>2024</w:t>
            </w:r>
          </w:p>
        </w:tc>
        <w:tc>
          <w:tcPr>
            <w:tcW w:w="1843" w:type="dxa"/>
            <w:tcBorders>
              <w:top w:val="single" w:sz="4" w:space="0" w:color="000000"/>
              <w:left w:val="nil"/>
              <w:bottom w:val="nil"/>
              <w:right w:val="nil"/>
            </w:tcBorders>
            <w:noWrap/>
            <w:vAlign w:val="bottom"/>
            <w:hideMark/>
          </w:tcPr>
          <w:p w14:paraId="613C90B8" w14:textId="3F1C25D7" w:rsidR="0022551E" w:rsidRPr="0022551E" w:rsidRDefault="0022551E" w:rsidP="0022551E">
            <w:pPr>
              <w:jc w:val="right"/>
              <w:rPr>
                <w:color w:val="000000"/>
                <w:sz w:val="18"/>
                <w:szCs w:val="18"/>
                <w:lang w:val="nl-BE" w:eastAsia="nl-BE"/>
              </w:rPr>
            </w:pPr>
            <w:r w:rsidRPr="0022551E">
              <w:rPr>
                <w:color w:val="000000"/>
                <w:sz w:val="18"/>
                <w:szCs w:val="18"/>
                <w:lang w:val="nl-BE" w:eastAsia="nl-BE"/>
              </w:rPr>
              <w:t>20.139</w:t>
            </w:r>
          </w:p>
        </w:tc>
        <w:tc>
          <w:tcPr>
            <w:tcW w:w="2126" w:type="dxa"/>
            <w:tcBorders>
              <w:top w:val="single" w:sz="4" w:space="0" w:color="000000"/>
              <w:left w:val="nil"/>
              <w:bottom w:val="nil"/>
              <w:right w:val="nil"/>
            </w:tcBorders>
            <w:noWrap/>
            <w:vAlign w:val="bottom"/>
            <w:hideMark/>
          </w:tcPr>
          <w:p w14:paraId="6B88C3F3" w14:textId="503E72C6" w:rsidR="0022551E" w:rsidRPr="0022551E" w:rsidRDefault="0022551E" w:rsidP="0022551E">
            <w:pPr>
              <w:jc w:val="right"/>
              <w:rPr>
                <w:color w:val="000000"/>
                <w:sz w:val="18"/>
                <w:szCs w:val="18"/>
                <w:lang w:val="nl-BE" w:eastAsia="nl-BE"/>
              </w:rPr>
            </w:pPr>
            <w:r w:rsidRPr="0022551E">
              <w:rPr>
                <w:color w:val="000000"/>
                <w:sz w:val="18"/>
                <w:szCs w:val="18"/>
                <w:lang w:val="nl-BE" w:eastAsia="nl-BE"/>
              </w:rPr>
              <w:t>3.270</w:t>
            </w:r>
          </w:p>
        </w:tc>
        <w:tc>
          <w:tcPr>
            <w:tcW w:w="1843" w:type="dxa"/>
            <w:tcBorders>
              <w:top w:val="single" w:sz="4" w:space="0" w:color="000000"/>
              <w:left w:val="nil"/>
              <w:bottom w:val="nil"/>
              <w:right w:val="single" w:sz="4" w:space="0" w:color="000000"/>
            </w:tcBorders>
            <w:noWrap/>
            <w:vAlign w:val="bottom"/>
            <w:hideMark/>
          </w:tcPr>
          <w:p w14:paraId="78D22AB3" w14:textId="16ACF725" w:rsidR="0022551E" w:rsidRPr="0022551E" w:rsidRDefault="0022551E" w:rsidP="0022551E">
            <w:pPr>
              <w:jc w:val="right"/>
              <w:rPr>
                <w:color w:val="000000"/>
                <w:sz w:val="18"/>
                <w:szCs w:val="18"/>
                <w:lang w:val="nl-BE" w:eastAsia="nl-BE"/>
              </w:rPr>
            </w:pPr>
            <w:r w:rsidRPr="0022551E">
              <w:rPr>
                <w:color w:val="000000"/>
                <w:sz w:val="18"/>
                <w:szCs w:val="18"/>
                <w:lang w:val="nl-BE" w:eastAsia="nl-BE"/>
              </w:rPr>
              <w:t>23.409</w:t>
            </w:r>
          </w:p>
        </w:tc>
      </w:tr>
      <w:tr w:rsidR="0022551E" w:rsidRPr="0022551E" w14:paraId="7CD94893" w14:textId="77777777" w:rsidTr="0022551E">
        <w:trPr>
          <w:trHeight w:val="288"/>
        </w:trPr>
        <w:tc>
          <w:tcPr>
            <w:tcW w:w="1701" w:type="dxa"/>
            <w:tcBorders>
              <w:top w:val="single" w:sz="4" w:space="0" w:color="000000"/>
              <w:left w:val="single" w:sz="4" w:space="0" w:color="000000"/>
              <w:bottom w:val="single" w:sz="4" w:space="0" w:color="000000"/>
              <w:right w:val="nil"/>
            </w:tcBorders>
            <w:noWrap/>
            <w:vAlign w:val="bottom"/>
            <w:hideMark/>
          </w:tcPr>
          <w:p w14:paraId="3B6BE6A2" w14:textId="77777777" w:rsidR="0022551E" w:rsidRPr="0022551E" w:rsidRDefault="0022551E" w:rsidP="0022551E">
            <w:pPr>
              <w:jc w:val="left"/>
              <w:rPr>
                <w:color w:val="000000"/>
                <w:sz w:val="18"/>
                <w:szCs w:val="18"/>
                <w:lang w:val="nl-BE" w:eastAsia="nl-BE"/>
              </w:rPr>
            </w:pPr>
            <w:r w:rsidRPr="0022551E">
              <w:rPr>
                <w:color w:val="000000"/>
                <w:sz w:val="18"/>
                <w:szCs w:val="18"/>
                <w:lang w:val="nl-BE" w:eastAsia="nl-BE"/>
              </w:rPr>
              <w:t>2025</w:t>
            </w:r>
          </w:p>
        </w:tc>
        <w:tc>
          <w:tcPr>
            <w:tcW w:w="1843" w:type="dxa"/>
            <w:tcBorders>
              <w:top w:val="single" w:sz="4" w:space="0" w:color="000000"/>
              <w:left w:val="nil"/>
              <w:bottom w:val="single" w:sz="4" w:space="0" w:color="000000"/>
              <w:right w:val="nil"/>
            </w:tcBorders>
            <w:noWrap/>
            <w:vAlign w:val="bottom"/>
            <w:hideMark/>
          </w:tcPr>
          <w:p w14:paraId="357BA720" w14:textId="23D34352" w:rsidR="0022551E" w:rsidRPr="0022551E" w:rsidRDefault="0022551E" w:rsidP="0022551E">
            <w:pPr>
              <w:jc w:val="right"/>
              <w:rPr>
                <w:color w:val="000000"/>
                <w:sz w:val="18"/>
                <w:szCs w:val="18"/>
                <w:lang w:val="nl-BE" w:eastAsia="nl-BE"/>
              </w:rPr>
            </w:pPr>
            <w:r w:rsidRPr="0022551E">
              <w:rPr>
                <w:color w:val="000000"/>
                <w:sz w:val="18"/>
                <w:szCs w:val="18"/>
                <w:lang w:val="nl-BE" w:eastAsia="nl-BE"/>
              </w:rPr>
              <w:t>23.386</w:t>
            </w:r>
          </w:p>
        </w:tc>
        <w:tc>
          <w:tcPr>
            <w:tcW w:w="2126" w:type="dxa"/>
            <w:tcBorders>
              <w:top w:val="single" w:sz="4" w:space="0" w:color="000000"/>
              <w:left w:val="nil"/>
              <w:bottom w:val="single" w:sz="4" w:space="0" w:color="000000"/>
              <w:right w:val="nil"/>
            </w:tcBorders>
            <w:noWrap/>
            <w:vAlign w:val="bottom"/>
            <w:hideMark/>
          </w:tcPr>
          <w:p w14:paraId="63C73B08" w14:textId="3A39BE5D" w:rsidR="0022551E" w:rsidRPr="0022551E" w:rsidRDefault="0022551E" w:rsidP="0022551E">
            <w:pPr>
              <w:jc w:val="right"/>
              <w:rPr>
                <w:color w:val="000000"/>
                <w:sz w:val="18"/>
                <w:szCs w:val="18"/>
                <w:lang w:val="nl-BE" w:eastAsia="nl-BE"/>
              </w:rPr>
            </w:pPr>
            <w:r w:rsidRPr="0022551E">
              <w:rPr>
                <w:color w:val="000000"/>
                <w:sz w:val="18"/>
                <w:szCs w:val="18"/>
                <w:lang w:val="nl-BE" w:eastAsia="nl-BE"/>
              </w:rPr>
              <w:t>3.997</w:t>
            </w:r>
          </w:p>
        </w:tc>
        <w:tc>
          <w:tcPr>
            <w:tcW w:w="1843" w:type="dxa"/>
            <w:tcBorders>
              <w:top w:val="single" w:sz="4" w:space="0" w:color="000000"/>
              <w:left w:val="nil"/>
              <w:bottom w:val="single" w:sz="4" w:space="0" w:color="000000"/>
              <w:right w:val="single" w:sz="4" w:space="0" w:color="000000"/>
            </w:tcBorders>
            <w:noWrap/>
            <w:vAlign w:val="bottom"/>
            <w:hideMark/>
          </w:tcPr>
          <w:p w14:paraId="6D309BE3" w14:textId="20E7DCD7" w:rsidR="0022551E" w:rsidRPr="0022551E" w:rsidRDefault="0022551E" w:rsidP="0022551E">
            <w:pPr>
              <w:jc w:val="right"/>
              <w:rPr>
                <w:color w:val="000000"/>
                <w:sz w:val="18"/>
                <w:szCs w:val="18"/>
                <w:lang w:val="nl-BE" w:eastAsia="nl-BE"/>
              </w:rPr>
            </w:pPr>
            <w:r w:rsidRPr="0022551E">
              <w:rPr>
                <w:color w:val="000000"/>
                <w:sz w:val="18"/>
                <w:szCs w:val="18"/>
                <w:lang w:val="nl-BE" w:eastAsia="nl-BE"/>
              </w:rPr>
              <w:t>27.383</w:t>
            </w:r>
          </w:p>
        </w:tc>
      </w:tr>
    </w:tbl>
    <w:p w14:paraId="79C0F620" w14:textId="77777777" w:rsidR="0022551E" w:rsidRDefault="0022551E" w:rsidP="00007761">
      <w:pPr>
        <w:rPr>
          <w:highlight w:val="yellow"/>
        </w:rPr>
      </w:pPr>
    </w:p>
    <w:p w14:paraId="5CE528ED" w14:textId="77777777" w:rsidR="00295A59" w:rsidRDefault="00295A59" w:rsidP="00007761">
      <w:pPr>
        <w:rPr>
          <w:highlight w:val="yellow"/>
        </w:rPr>
      </w:pPr>
    </w:p>
    <w:p w14:paraId="18361ACB" w14:textId="136AC9F7" w:rsidR="009A13C5" w:rsidRPr="00786F06" w:rsidRDefault="00007761" w:rsidP="009A13C5">
      <w:pPr>
        <w:numPr>
          <w:ilvl w:val="0"/>
          <w:numId w:val="21"/>
        </w:numPr>
        <w:ind w:left="284" w:hanging="284"/>
      </w:pPr>
      <w:r>
        <w:t xml:space="preserve">-5. Onderstaande tabel bevat </w:t>
      </w:r>
      <w:r w:rsidR="009A13C5" w:rsidRPr="00786F06">
        <w:t xml:space="preserve">per aanslagjaar het aantal aanslagbiljetten (AB) </w:t>
      </w:r>
      <w:r w:rsidR="009A13C5">
        <w:t>voor verkeersbelastingen</w:t>
      </w:r>
      <w:r w:rsidR="009A13C5" w:rsidRPr="00786F06">
        <w:t xml:space="preserve">. Er wordt een onderscheid gemaakt naargelang de invorderingsstappen die werden gezet om de betaling te </w:t>
      </w:r>
      <w:r w:rsidR="009A13C5">
        <w:t>verkrijgen</w:t>
      </w:r>
      <w:r w:rsidR="009A13C5" w:rsidRPr="00786F06">
        <w:t xml:space="preserve">, nl. </w:t>
      </w:r>
    </w:p>
    <w:p w14:paraId="6EAEAD51" w14:textId="77777777" w:rsidR="009A13C5" w:rsidRDefault="009A13C5" w:rsidP="009A13C5">
      <w:pPr>
        <w:pStyle w:val="Lijstalinea"/>
        <w:numPr>
          <w:ilvl w:val="0"/>
          <w:numId w:val="20"/>
        </w:numPr>
        <w:tabs>
          <w:tab w:val="left" w:pos="851"/>
          <w:tab w:val="left" w:pos="1134"/>
          <w:tab w:val="center" w:pos="4253"/>
          <w:tab w:val="right" w:pos="8278"/>
        </w:tabs>
      </w:pPr>
      <w:r w:rsidRPr="00786F06">
        <w:t xml:space="preserve">het aantal AB </w:t>
      </w:r>
      <w:bookmarkStart w:id="0" w:name="_Hlk207963778"/>
      <w:r w:rsidRPr="00115792">
        <w:t>waarvoor geen extra invorderingsstappen werden gezet</w:t>
      </w:r>
      <w:r w:rsidRPr="00786F06" w:rsidDel="00673D7A">
        <w:t xml:space="preserve"> </w:t>
      </w:r>
      <w:bookmarkEnd w:id="0"/>
      <w:r>
        <w:t>(1);</w:t>
      </w:r>
      <w:r w:rsidRPr="00786F06">
        <w:t xml:space="preserve"> </w:t>
      </w:r>
    </w:p>
    <w:p w14:paraId="3E3BF8E2" w14:textId="77777777" w:rsidR="009A13C5" w:rsidRDefault="009A13C5" w:rsidP="009A13C5">
      <w:pPr>
        <w:pStyle w:val="Lijstalinea"/>
        <w:numPr>
          <w:ilvl w:val="0"/>
          <w:numId w:val="20"/>
        </w:numPr>
        <w:tabs>
          <w:tab w:val="left" w:pos="851"/>
          <w:tab w:val="left" w:pos="1134"/>
          <w:tab w:val="center" w:pos="4253"/>
          <w:tab w:val="right" w:pos="8278"/>
        </w:tabs>
      </w:pPr>
      <w:r>
        <w:lastRenderedPageBreak/>
        <w:t xml:space="preserve">het aantal AB </w:t>
      </w:r>
      <w:bookmarkStart w:id="1" w:name="_Hlk207963791"/>
      <w:r>
        <w:t>waarvoor een eerste herinnering werd verzonden</w:t>
      </w:r>
      <w:r w:rsidDel="00673D7A">
        <w:t xml:space="preserve"> </w:t>
      </w:r>
      <w:bookmarkEnd w:id="1"/>
      <w:r>
        <w:t>(2);</w:t>
      </w:r>
      <w:r>
        <w:rPr>
          <w:rStyle w:val="Voetnootmarkering"/>
        </w:rPr>
        <w:footnoteReference w:id="1"/>
      </w:r>
    </w:p>
    <w:p w14:paraId="1DC7C4B4" w14:textId="77777777" w:rsidR="009A13C5" w:rsidRPr="00786F06" w:rsidRDefault="009A13C5" w:rsidP="009A13C5">
      <w:pPr>
        <w:pStyle w:val="Lijstalinea"/>
        <w:numPr>
          <w:ilvl w:val="0"/>
          <w:numId w:val="20"/>
        </w:numPr>
        <w:tabs>
          <w:tab w:val="left" w:pos="851"/>
          <w:tab w:val="left" w:pos="1134"/>
          <w:tab w:val="center" w:pos="4253"/>
          <w:tab w:val="right" w:pos="8278"/>
        </w:tabs>
      </w:pPr>
      <w:r>
        <w:t xml:space="preserve">het aantal AB </w:t>
      </w:r>
      <w:bookmarkStart w:id="2" w:name="_Hlk207963803"/>
      <w:r>
        <w:t>waarvoor een tweede herinnering werd verzonden</w:t>
      </w:r>
      <w:r w:rsidDel="00673D7A">
        <w:t xml:space="preserve"> </w:t>
      </w:r>
      <w:bookmarkEnd w:id="2"/>
      <w:r>
        <w:t>(3);</w:t>
      </w:r>
    </w:p>
    <w:p w14:paraId="13D1F5A0" w14:textId="5BD09647" w:rsidR="009A13C5" w:rsidRPr="00786F06" w:rsidRDefault="009A13C5" w:rsidP="009A13C5">
      <w:pPr>
        <w:pStyle w:val="Lijstalinea"/>
        <w:numPr>
          <w:ilvl w:val="0"/>
          <w:numId w:val="20"/>
        </w:numPr>
        <w:tabs>
          <w:tab w:val="left" w:pos="851"/>
          <w:tab w:val="left" w:pos="1134"/>
          <w:tab w:val="center" w:pos="4253"/>
          <w:tab w:val="right" w:pos="8278"/>
        </w:tabs>
      </w:pPr>
      <w:r>
        <w:t>het aantal AB waarvoor een dwangschrift werd opgemaakt dat door de gerechtsdeurwaarder werd betekend (4).</w:t>
      </w:r>
      <w:r w:rsidR="00C25C33">
        <w:t xml:space="preserve"> Voor de jaren 2020 tot en met 2024 schommelt het aantal dwangschriften rond 60.000 à 69.000 dossiers per jaar. In verhouding tot ongeveer 4,8 miljoen aanslagbiljetten gaat het </w:t>
      </w:r>
      <w:r w:rsidR="00FD2F4E">
        <w:t xml:space="preserve">dus </w:t>
      </w:r>
      <w:r w:rsidR="00C25C33">
        <w:t xml:space="preserve">om ongeveer 1,3% à 1,4% van de dossiers. Het cijfer voor 2025 ligt aanzienlijk lager. Dat cijfer moet </w:t>
      </w:r>
      <w:r w:rsidR="00FD2F4E">
        <w:t xml:space="preserve">wel </w:t>
      </w:r>
      <w:r w:rsidR="00C25C33">
        <w:t>voorzichtig worden geïnterpreteerd, aangezien invorderingstrajecten niet altijd binnen hetzelfde aanslagjaarvolledig zijn afgerond. Belangrijk is dat de overgrote meerderheid van de aanslagbiljetten wordt betaald zonder dat een dwangschrift nodig is.</w:t>
      </w:r>
    </w:p>
    <w:p w14:paraId="48046D69" w14:textId="77777777" w:rsidR="009A13C5" w:rsidRDefault="009A13C5" w:rsidP="004F412B"/>
    <w:tbl>
      <w:tblPr>
        <w:tblW w:w="9067" w:type="dxa"/>
        <w:tblLayout w:type="fixed"/>
        <w:tblCellMar>
          <w:left w:w="70" w:type="dxa"/>
          <w:right w:w="70" w:type="dxa"/>
        </w:tblCellMar>
        <w:tblLook w:val="04A0" w:firstRow="1" w:lastRow="0" w:firstColumn="1" w:lastColumn="0" w:noHBand="0" w:noVBand="1"/>
      </w:tblPr>
      <w:tblGrid>
        <w:gridCol w:w="2122"/>
        <w:gridCol w:w="992"/>
        <w:gridCol w:w="1140"/>
        <w:gridCol w:w="1140"/>
        <w:gridCol w:w="1140"/>
        <w:gridCol w:w="1140"/>
        <w:gridCol w:w="1393"/>
      </w:tblGrid>
      <w:tr w:rsidR="009A13C5" w:rsidRPr="009A13C5" w14:paraId="316E8622" w14:textId="77777777" w:rsidTr="009A13C5">
        <w:trPr>
          <w:trHeight w:val="288"/>
        </w:trPr>
        <w:tc>
          <w:tcPr>
            <w:tcW w:w="2122" w:type="dxa"/>
            <w:tcBorders>
              <w:top w:val="single" w:sz="4" w:space="0" w:color="000000"/>
              <w:left w:val="single" w:sz="4" w:space="0" w:color="000000"/>
              <w:bottom w:val="nil"/>
              <w:right w:val="nil"/>
            </w:tcBorders>
            <w:noWrap/>
            <w:vAlign w:val="center"/>
            <w:hideMark/>
          </w:tcPr>
          <w:p w14:paraId="06B73545" w14:textId="77777777" w:rsidR="009A13C5" w:rsidRPr="009A13C5" w:rsidRDefault="009A13C5" w:rsidP="009A13C5">
            <w:pPr>
              <w:jc w:val="left"/>
              <w:rPr>
                <w:rFonts w:cs="Calibri"/>
                <w:b/>
                <w:bCs/>
                <w:sz w:val="16"/>
                <w:szCs w:val="16"/>
                <w:lang w:val="nl-BE" w:eastAsia="nl-BE"/>
              </w:rPr>
            </w:pPr>
            <w:r w:rsidRPr="009A13C5">
              <w:rPr>
                <w:rFonts w:cs="Calibri"/>
                <w:b/>
                <w:bCs/>
                <w:sz w:val="16"/>
                <w:szCs w:val="16"/>
                <w:lang w:val="nl-BE" w:eastAsia="nl-BE"/>
              </w:rPr>
              <w:t>Fase</w:t>
            </w:r>
          </w:p>
        </w:tc>
        <w:tc>
          <w:tcPr>
            <w:tcW w:w="992" w:type="dxa"/>
            <w:tcBorders>
              <w:top w:val="single" w:sz="4" w:space="0" w:color="000000"/>
              <w:left w:val="nil"/>
              <w:bottom w:val="nil"/>
              <w:right w:val="nil"/>
            </w:tcBorders>
            <w:noWrap/>
            <w:vAlign w:val="center"/>
          </w:tcPr>
          <w:p w14:paraId="3D83427A" w14:textId="3F2A58BF" w:rsidR="009A13C5" w:rsidRPr="009A13C5" w:rsidRDefault="009A13C5" w:rsidP="009A13C5">
            <w:pPr>
              <w:jc w:val="right"/>
              <w:rPr>
                <w:rFonts w:cs="Calibri"/>
                <w:b/>
                <w:bCs/>
                <w:sz w:val="16"/>
                <w:szCs w:val="16"/>
                <w:lang w:val="nl-BE" w:eastAsia="nl-BE"/>
              </w:rPr>
            </w:pPr>
            <w:r w:rsidRPr="009A13C5">
              <w:rPr>
                <w:b/>
                <w:bCs/>
                <w:sz w:val="16"/>
                <w:szCs w:val="16"/>
              </w:rPr>
              <w:t>2020</w:t>
            </w:r>
          </w:p>
        </w:tc>
        <w:tc>
          <w:tcPr>
            <w:tcW w:w="1140" w:type="dxa"/>
            <w:tcBorders>
              <w:top w:val="single" w:sz="4" w:space="0" w:color="000000"/>
              <w:left w:val="nil"/>
              <w:bottom w:val="nil"/>
              <w:right w:val="nil"/>
            </w:tcBorders>
            <w:noWrap/>
            <w:vAlign w:val="center"/>
          </w:tcPr>
          <w:p w14:paraId="6F9A14D0" w14:textId="569B68AF" w:rsidR="009A13C5" w:rsidRPr="009A13C5" w:rsidRDefault="009A13C5" w:rsidP="009A13C5">
            <w:pPr>
              <w:jc w:val="right"/>
              <w:rPr>
                <w:rFonts w:cs="Calibri"/>
                <w:b/>
                <w:bCs/>
                <w:sz w:val="16"/>
                <w:szCs w:val="16"/>
                <w:lang w:val="nl-BE" w:eastAsia="nl-BE"/>
              </w:rPr>
            </w:pPr>
            <w:r w:rsidRPr="009A13C5">
              <w:rPr>
                <w:b/>
                <w:bCs/>
                <w:sz w:val="16"/>
                <w:szCs w:val="16"/>
              </w:rPr>
              <w:t>2021</w:t>
            </w:r>
          </w:p>
        </w:tc>
        <w:tc>
          <w:tcPr>
            <w:tcW w:w="1140" w:type="dxa"/>
            <w:tcBorders>
              <w:top w:val="single" w:sz="4" w:space="0" w:color="000000"/>
              <w:left w:val="nil"/>
              <w:bottom w:val="nil"/>
              <w:right w:val="nil"/>
            </w:tcBorders>
            <w:noWrap/>
            <w:vAlign w:val="center"/>
          </w:tcPr>
          <w:p w14:paraId="051D6F3F" w14:textId="230BDE7D" w:rsidR="009A13C5" w:rsidRPr="009A13C5" w:rsidRDefault="009A13C5" w:rsidP="009A13C5">
            <w:pPr>
              <w:jc w:val="right"/>
              <w:rPr>
                <w:rFonts w:cs="Calibri"/>
                <w:b/>
                <w:bCs/>
                <w:sz w:val="16"/>
                <w:szCs w:val="16"/>
                <w:lang w:val="nl-BE" w:eastAsia="nl-BE"/>
              </w:rPr>
            </w:pPr>
            <w:r w:rsidRPr="009A13C5">
              <w:rPr>
                <w:b/>
                <w:bCs/>
                <w:sz w:val="16"/>
                <w:szCs w:val="16"/>
              </w:rPr>
              <w:t>2022</w:t>
            </w:r>
          </w:p>
        </w:tc>
        <w:tc>
          <w:tcPr>
            <w:tcW w:w="1140" w:type="dxa"/>
            <w:tcBorders>
              <w:top w:val="single" w:sz="4" w:space="0" w:color="000000"/>
              <w:left w:val="nil"/>
              <w:bottom w:val="nil"/>
              <w:right w:val="nil"/>
            </w:tcBorders>
            <w:noWrap/>
            <w:vAlign w:val="center"/>
          </w:tcPr>
          <w:p w14:paraId="554164C7" w14:textId="19631DE1" w:rsidR="009A13C5" w:rsidRPr="009A13C5" w:rsidRDefault="009A13C5" w:rsidP="009A13C5">
            <w:pPr>
              <w:jc w:val="right"/>
              <w:rPr>
                <w:rFonts w:cs="Calibri"/>
                <w:b/>
                <w:bCs/>
                <w:sz w:val="16"/>
                <w:szCs w:val="16"/>
                <w:lang w:val="nl-BE" w:eastAsia="nl-BE"/>
              </w:rPr>
            </w:pPr>
            <w:r w:rsidRPr="009A13C5">
              <w:rPr>
                <w:b/>
                <w:bCs/>
                <w:sz w:val="16"/>
                <w:szCs w:val="16"/>
              </w:rPr>
              <w:t>2023</w:t>
            </w:r>
          </w:p>
        </w:tc>
        <w:tc>
          <w:tcPr>
            <w:tcW w:w="1140" w:type="dxa"/>
            <w:tcBorders>
              <w:top w:val="single" w:sz="4" w:space="0" w:color="000000"/>
              <w:left w:val="nil"/>
              <w:bottom w:val="nil"/>
              <w:right w:val="nil"/>
            </w:tcBorders>
            <w:noWrap/>
            <w:vAlign w:val="center"/>
          </w:tcPr>
          <w:p w14:paraId="48C41C88" w14:textId="0A7E0A9F" w:rsidR="009A13C5" w:rsidRPr="009A13C5" w:rsidRDefault="009A13C5" w:rsidP="009A13C5">
            <w:pPr>
              <w:jc w:val="right"/>
              <w:rPr>
                <w:rFonts w:cs="Calibri"/>
                <w:b/>
                <w:bCs/>
                <w:sz w:val="16"/>
                <w:szCs w:val="16"/>
                <w:lang w:val="nl-BE" w:eastAsia="nl-BE"/>
              </w:rPr>
            </w:pPr>
            <w:r w:rsidRPr="009A13C5">
              <w:rPr>
                <w:b/>
                <w:bCs/>
                <w:sz w:val="16"/>
                <w:szCs w:val="16"/>
              </w:rPr>
              <w:t>2024</w:t>
            </w:r>
          </w:p>
        </w:tc>
        <w:tc>
          <w:tcPr>
            <w:tcW w:w="1393" w:type="dxa"/>
            <w:tcBorders>
              <w:top w:val="single" w:sz="4" w:space="0" w:color="000000"/>
              <w:left w:val="nil"/>
              <w:bottom w:val="nil"/>
              <w:right w:val="single" w:sz="4" w:space="0" w:color="000000"/>
            </w:tcBorders>
            <w:noWrap/>
            <w:vAlign w:val="center"/>
          </w:tcPr>
          <w:p w14:paraId="26875903" w14:textId="206A2CFC" w:rsidR="009A13C5" w:rsidRPr="009A13C5" w:rsidRDefault="009A13C5" w:rsidP="009A13C5">
            <w:pPr>
              <w:jc w:val="right"/>
              <w:rPr>
                <w:rFonts w:cs="Calibri"/>
                <w:b/>
                <w:bCs/>
                <w:sz w:val="16"/>
                <w:szCs w:val="16"/>
                <w:lang w:val="nl-BE" w:eastAsia="nl-BE"/>
              </w:rPr>
            </w:pPr>
            <w:r w:rsidRPr="009A13C5">
              <w:rPr>
                <w:b/>
                <w:bCs/>
                <w:sz w:val="16"/>
                <w:szCs w:val="16"/>
              </w:rPr>
              <w:t>2025</w:t>
            </w:r>
          </w:p>
        </w:tc>
      </w:tr>
      <w:tr w:rsidR="009A13C5" w:rsidRPr="009A13C5" w14:paraId="43C9C14B" w14:textId="77777777" w:rsidTr="009A13C5">
        <w:trPr>
          <w:trHeight w:val="288"/>
        </w:trPr>
        <w:tc>
          <w:tcPr>
            <w:tcW w:w="2122" w:type="dxa"/>
            <w:tcBorders>
              <w:top w:val="single" w:sz="4" w:space="0" w:color="000000"/>
              <w:left w:val="single" w:sz="4" w:space="0" w:color="000000"/>
              <w:bottom w:val="nil"/>
              <w:right w:val="nil"/>
            </w:tcBorders>
            <w:noWrap/>
            <w:vAlign w:val="center"/>
            <w:hideMark/>
          </w:tcPr>
          <w:p w14:paraId="781C891C" w14:textId="77777777" w:rsidR="009A13C5" w:rsidRPr="009A13C5" w:rsidRDefault="009A13C5" w:rsidP="009A13C5">
            <w:pPr>
              <w:jc w:val="left"/>
              <w:rPr>
                <w:rFonts w:cs="Calibri"/>
                <w:color w:val="000000"/>
                <w:sz w:val="16"/>
                <w:szCs w:val="16"/>
                <w:lang w:val="nl-BE" w:eastAsia="nl-BE"/>
              </w:rPr>
            </w:pPr>
            <w:r w:rsidRPr="009A13C5">
              <w:rPr>
                <w:rFonts w:cs="Calibri"/>
                <w:color w:val="000000"/>
                <w:sz w:val="16"/>
                <w:szCs w:val="16"/>
                <w:lang w:val="nl-BE" w:eastAsia="nl-BE"/>
              </w:rPr>
              <w:t>(1) Aanslagbiljet</w:t>
            </w:r>
          </w:p>
        </w:tc>
        <w:tc>
          <w:tcPr>
            <w:tcW w:w="992" w:type="dxa"/>
            <w:tcBorders>
              <w:top w:val="single" w:sz="4" w:space="0" w:color="000000"/>
              <w:left w:val="nil"/>
              <w:bottom w:val="nil"/>
              <w:right w:val="nil"/>
            </w:tcBorders>
            <w:noWrap/>
            <w:vAlign w:val="center"/>
          </w:tcPr>
          <w:p w14:paraId="79C4F14D" w14:textId="24E2C252" w:rsidR="009A13C5" w:rsidRPr="009A13C5" w:rsidRDefault="009A13C5" w:rsidP="009A13C5">
            <w:pPr>
              <w:jc w:val="right"/>
              <w:rPr>
                <w:rFonts w:cs="Calibri"/>
                <w:color w:val="000000"/>
                <w:sz w:val="16"/>
                <w:szCs w:val="16"/>
                <w:lang w:val="nl-BE" w:eastAsia="nl-BE"/>
              </w:rPr>
            </w:pPr>
            <w:r w:rsidRPr="009A13C5">
              <w:rPr>
                <w:sz w:val="16"/>
                <w:szCs w:val="16"/>
              </w:rPr>
              <w:t>4.395.778</w:t>
            </w:r>
          </w:p>
        </w:tc>
        <w:tc>
          <w:tcPr>
            <w:tcW w:w="1140" w:type="dxa"/>
            <w:tcBorders>
              <w:top w:val="single" w:sz="4" w:space="0" w:color="000000"/>
              <w:left w:val="nil"/>
              <w:bottom w:val="nil"/>
              <w:right w:val="nil"/>
            </w:tcBorders>
            <w:noWrap/>
            <w:vAlign w:val="center"/>
          </w:tcPr>
          <w:p w14:paraId="136A1A2D" w14:textId="4A97C85A" w:rsidR="009A13C5" w:rsidRPr="009A13C5" w:rsidRDefault="009A13C5" w:rsidP="009A13C5">
            <w:pPr>
              <w:jc w:val="right"/>
              <w:rPr>
                <w:rFonts w:cs="Calibri"/>
                <w:color w:val="000000"/>
                <w:sz w:val="16"/>
                <w:szCs w:val="16"/>
                <w:lang w:val="nl-BE" w:eastAsia="nl-BE"/>
              </w:rPr>
            </w:pPr>
            <w:r w:rsidRPr="009A13C5">
              <w:rPr>
                <w:sz w:val="16"/>
                <w:szCs w:val="16"/>
              </w:rPr>
              <w:t>4.401.274</w:t>
            </w:r>
          </w:p>
        </w:tc>
        <w:tc>
          <w:tcPr>
            <w:tcW w:w="1140" w:type="dxa"/>
            <w:tcBorders>
              <w:top w:val="single" w:sz="4" w:space="0" w:color="000000"/>
              <w:left w:val="nil"/>
              <w:bottom w:val="nil"/>
              <w:right w:val="nil"/>
            </w:tcBorders>
            <w:noWrap/>
            <w:vAlign w:val="center"/>
          </w:tcPr>
          <w:p w14:paraId="687AE5EB" w14:textId="33FA2310" w:rsidR="009A13C5" w:rsidRPr="009A13C5" w:rsidRDefault="009A13C5" w:rsidP="009A13C5">
            <w:pPr>
              <w:jc w:val="right"/>
              <w:rPr>
                <w:rFonts w:cs="Calibri"/>
                <w:color w:val="000000"/>
                <w:sz w:val="16"/>
                <w:szCs w:val="16"/>
                <w:lang w:val="nl-BE" w:eastAsia="nl-BE"/>
              </w:rPr>
            </w:pPr>
            <w:r w:rsidRPr="009A13C5">
              <w:rPr>
                <w:sz w:val="16"/>
                <w:szCs w:val="16"/>
              </w:rPr>
              <w:t>4.221.898</w:t>
            </w:r>
          </w:p>
        </w:tc>
        <w:tc>
          <w:tcPr>
            <w:tcW w:w="1140" w:type="dxa"/>
            <w:tcBorders>
              <w:top w:val="single" w:sz="4" w:space="0" w:color="000000"/>
              <w:left w:val="nil"/>
              <w:bottom w:val="nil"/>
              <w:right w:val="nil"/>
            </w:tcBorders>
            <w:noWrap/>
            <w:vAlign w:val="center"/>
          </w:tcPr>
          <w:p w14:paraId="4DD363B4" w14:textId="4B407699" w:rsidR="009A13C5" w:rsidRPr="009A13C5" w:rsidRDefault="009A13C5" w:rsidP="009A13C5">
            <w:pPr>
              <w:jc w:val="right"/>
              <w:rPr>
                <w:rFonts w:cs="Calibri"/>
                <w:color w:val="000000"/>
                <w:sz w:val="16"/>
                <w:szCs w:val="16"/>
                <w:lang w:val="nl-BE" w:eastAsia="nl-BE"/>
              </w:rPr>
            </w:pPr>
            <w:r w:rsidRPr="009A13C5">
              <w:rPr>
                <w:sz w:val="16"/>
                <w:szCs w:val="16"/>
              </w:rPr>
              <w:t>4.125.217</w:t>
            </w:r>
          </w:p>
        </w:tc>
        <w:tc>
          <w:tcPr>
            <w:tcW w:w="1140" w:type="dxa"/>
            <w:tcBorders>
              <w:top w:val="single" w:sz="4" w:space="0" w:color="000000"/>
              <w:left w:val="nil"/>
              <w:bottom w:val="nil"/>
              <w:right w:val="nil"/>
            </w:tcBorders>
            <w:noWrap/>
            <w:vAlign w:val="center"/>
          </w:tcPr>
          <w:p w14:paraId="41A4C97B" w14:textId="7E8BE474" w:rsidR="009A13C5" w:rsidRPr="009A13C5" w:rsidRDefault="009A13C5" w:rsidP="009A13C5">
            <w:pPr>
              <w:jc w:val="right"/>
              <w:rPr>
                <w:rFonts w:cs="Calibri"/>
                <w:color w:val="000000"/>
                <w:sz w:val="16"/>
                <w:szCs w:val="16"/>
                <w:lang w:val="nl-BE" w:eastAsia="nl-BE"/>
              </w:rPr>
            </w:pPr>
            <w:r w:rsidRPr="009A13C5">
              <w:rPr>
                <w:sz w:val="16"/>
                <w:szCs w:val="16"/>
              </w:rPr>
              <w:t>4.108.000</w:t>
            </w:r>
          </w:p>
        </w:tc>
        <w:tc>
          <w:tcPr>
            <w:tcW w:w="1393" w:type="dxa"/>
            <w:tcBorders>
              <w:top w:val="single" w:sz="4" w:space="0" w:color="000000"/>
              <w:left w:val="nil"/>
              <w:bottom w:val="nil"/>
              <w:right w:val="single" w:sz="4" w:space="0" w:color="000000"/>
            </w:tcBorders>
            <w:noWrap/>
            <w:vAlign w:val="center"/>
          </w:tcPr>
          <w:p w14:paraId="69D24C65" w14:textId="35CB82CD" w:rsidR="009A13C5" w:rsidRPr="009A13C5" w:rsidRDefault="009A13C5" w:rsidP="009A13C5">
            <w:pPr>
              <w:jc w:val="right"/>
              <w:rPr>
                <w:rFonts w:cs="Calibri"/>
                <w:color w:val="000000"/>
                <w:sz w:val="16"/>
                <w:szCs w:val="16"/>
                <w:lang w:val="nl-BE" w:eastAsia="nl-BE"/>
              </w:rPr>
            </w:pPr>
            <w:r w:rsidRPr="009A13C5">
              <w:rPr>
                <w:sz w:val="16"/>
                <w:szCs w:val="16"/>
              </w:rPr>
              <w:t>4.462.476</w:t>
            </w:r>
          </w:p>
        </w:tc>
      </w:tr>
      <w:tr w:rsidR="009A13C5" w:rsidRPr="009A13C5" w14:paraId="6D36C3F9" w14:textId="77777777" w:rsidTr="009A13C5">
        <w:trPr>
          <w:trHeight w:val="288"/>
        </w:trPr>
        <w:tc>
          <w:tcPr>
            <w:tcW w:w="2122" w:type="dxa"/>
            <w:tcBorders>
              <w:top w:val="single" w:sz="4" w:space="0" w:color="000000"/>
              <w:left w:val="single" w:sz="4" w:space="0" w:color="000000"/>
              <w:bottom w:val="nil"/>
              <w:right w:val="nil"/>
            </w:tcBorders>
            <w:noWrap/>
            <w:vAlign w:val="center"/>
            <w:hideMark/>
          </w:tcPr>
          <w:p w14:paraId="2E0924BA" w14:textId="77777777" w:rsidR="009A13C5" w:rsidRPr="009A13C5" w:rsidRDefault="009A13C5" w:rsidP="009A13C5">
            <w:pPr>
              <w:jc w:val="left"/>
              <w:rPr>
                <w:rFonts w:cs="Calibri"/>
                <w:color w:val="000000"/>
                <w:sz w:val="16"/>
                <w:szCs w:val="16"/>
                <w:lang w:val="nl-BE" w:eastAsia="nl-BE"/>
              </w:rPr>
            </w:pPr>
            <w:r w:rsidRPr="009A13C5">
              <w:rPr>
                <w:rFonts w:cs="Calibri"/>
                <w:color w:val="000000"/>
                <w:sz w:val="16"/>
                <w:szCs w:val="16"/>
                <w:lang w:val="nl-BE" w:eastAsia="nl-BE"/>
              </w:rPr>
              <w:t>(2) Eerste herinnering</w:t>
            </w:r>
          </w:p>
        </w:tc>
        <w:tc>
          <w:tcPr>
            <w:tcW w:w="992" w:type="dxa"/>
            <w:tcBorders>
              <w:top w:val="single" w:sz="4" w:space="0" w:color="000000"/>
              <w:left w:val="nil"/>
              <w:bottom w:val="nil"/>
              <w:right w:val="nil"/>
            </w:tcBorders>
            <w:noWrap/>
            <w:vAlign w:val="center"/>
          </w:tcPr>
          <w:p w14:paraId="2FD2BC2D" w14:textId="6A7E94B1" w:rsidR="009A13C5" w:rsidRPr="009A13C5" w:rsidRDefault="009A13C5" w:rsidP="009A13C5">
            <w:pPr>
              <w:jc w:val="right"/>
              <w:rPr>
                <w:rFonts w:cs="Calibri"/>
                <w:color w:val="000000"/>
                <w:sz w:val="16"/>
                <w:szCs w:val="16"/>
                <w:lang w:val="nl-BE" w:eastAsia="nl-BE"/>
              </w:rPr>
            </w:pPr>
            <w:r w:rsidRPr="009A13C5">
              <w:rPr>
                <w:sz w:val="16"/>
                <w:szCs w:val="16"/>
              </w:rPr>
              <w:t>187.623</w:t>
            </w:r>
          </w:p>
        </w:tc>
        <w:tc>
          <w:tcPr>
            <w:tcW w:w="1140" w:type="dxa"/>
            <w:tcBorders>
              <w:top w:val="single" w:sz="4" w:space="0" w:color="000000"/>
              <w:left w:val="nil"/>
              <w:bottom w:val="nil"/>
              <w:right w:val="nil"/>
            </w:tcBorders>
            <w:noWrap/>
            <w:vAlign w:val="center"/>
          </w:tcPr>
          <w:p w14:paraId="4289E490" w14:textId="4EC4998D" w:rsidR="009A13C5" w:rsidRPr="009A13C5" w:rsidRDefault="009A13C5" w:rsidP="009A13C5">
            <w:pPr>
              <w:jc w:val="right"/>
              <w:rPr>
                <w:rFonts w:cs="Calibri"/>
                <w:color w:val="000000"/>
                <w:sz w:val="16"/>
                <w:szCs w:val="16"/>
                <w:lang w:val="nl-BE" w:eastAsia="nl-BE"/>
              </w:rPr>
            </w:pPr>
            <w:r w:rsidRPr="009A13C5">
              <w:rPr>
                <w:sz w:val="16"/>
                <w:szCs w:val="16"/>
              </w:rPr>
              <w:t>192.018</w:t>
            </w:r>
          </w:p>
        </w:tc>
        <w:tc>
          <w:tcPr>
            <w:tcW w:w="1140" w:type="dxa"/>
            <w:tcBorders>
              <w:top w:val="single" w:sz="4" w:space="0" w:color="000000"/>
              <w:left w:val="nil"/>
              <w:bottom w:val="nil"/>
              <w:right w:val="nil"/>
            </w:tcBorders>
            <w:noWrap/>
            <w:vAlign w:val="center"/>
          </w:tcPr>
          <w:p w14:paraId="3F123677" w14:textId="2442BB46" w:rsidR="009A13C5" w:rsidRPr="009A13C5" w:rsidRDefault="009A13C5" w:rsidP="009A13C5">
            <w:pPr>
              <w:jc w:val="right"/>
              <w:rPr>
                <w:rFonts w:cs="Calibri"/>
                <w:color w:val="000000"/>
                <w:sz w:val="16"/>
                <w:szCs w:val="16"/>
                <w:lang w:val="nl-BE" w:eastAsia="nl-BE"/>
              </w:rPr>
            </w:pPr>
            <w:r w:rsidRPr="009A13C5">
              <w:rPr>
                <w:sz w:val="16"/>
                <w:szCs w:val="16"/>
              </w:rPr>
              <w:t>347.340</w:t>
            </w:r>
          </w:p>
        </w:tc>
        <w:tc>
          <w:tcPr>
            <w:tcW w:w="1140" w:type="dxa"/>
            <w:tcBorders>
              <w:top w:val="single" w:sz="4" w:space="0" w:color="000000"/>
              <w:left w:val="nil"/>
              <w:bottom w:val="nil"/>
              <w:right w:val="nil"/>
            </w:tcBorders>
            <w:noWrap/>
            <w:vAlign w:val="center"/>
          </w:tcPr>
          <w:p w14:paraId="38C03804" w14:textId="279F9CE4" w:rsidR="009A13C5" w:rsidRPr="009A13C5" w:rsidRDefault="009A13C5" w:rsidP="009A13C5">
            <w:pPr>
              <w:jc w:val="right"/>
              <w:rPr>
                <w:rFonts w:cs="Calibri"/>
                <w:color w:val="000000"/>
                <w:sz w:val="16"/>
                <w:szCs w:val="16"/>
                <w:lang w:val="nl-BE" w:eastAsia="nl-BE"/>
              </w:rPr>
            </w:pPr>
            <w:r w:rsidRPr="009A13C5">
              <w:rPr>
                <w:sz w:val="16"/>
                <w:szCs w:val="16"/>
              </w:rPr>
              <w:t>466.029</w:t>
            </w:r>
          </w:p>
        </w:tc>
        <w:tc>
          <w:tcPr>
            <w:tcW w:w="1140" w:type="dxa"/>
            <w:tcBorders>
              <w:top w:val="single" w:sz="4" w:space="0" w:color="000000"/>
              <w:left w:val="nil"/>
              <w:bottom w:val="nil"/>
              <w:right w:val="nil"/>
            </w:tcBorders>
            <w:noWrap/>
            <w:vAlign w:val="center"/>
          </w:tcPr>
          <w:p w14:paraId="4131C18D" w14:textId="4A761722" w:rsidR="009A13C5" w:rsidRPr="009A13C5" w:rsidRDefault="009A13C5" w:rsidP="009A13C5">
            <w:pPr>
              <w:jc w:val="right"/>
              <w:rPr>
                <w:rFonts w:cs="Calibri"/>
                <w:color w:val="000000"/>
                <w:sz w:val="16"/>
                <w:szCs w:val="16"/>
                <w:lang w:val="nl-BE" w:eastAsia="nl-BE"/>
              </w:rPr>
            </w:pPr>
            <w:r w:rsidRPr="009A13C5">
              <w:rPr>
                <w:sz w:val="16"/>
                <w:szCs w:val="16"/>
              </w:rPr>
              <w:t>432.594</w:t>
            </w:r>
          </w:p>
        </w:tc>
        <w:tc>
          <w:tcPr>
            <w:tcW w:w="1393" w:type="dxa"/>
            <w:tcBorders>
              <w:top w:val="single" w:sz="4" w:space="0" w:color="000000"/>
              <w:left w:val="nil"/>
              <w:bottom w:val="nil"/>
              <w:right w:val="single" w:sz="4" w:space="0" w:color="000000"/>
            </w:tcBorders>
            <w:noWrap/>
            <w:vAlign w:val="center"/>
          </w:tcPr>
          <w:p w14:paraId="2CDB1EBB" w14:textId="6791957B" w:rsidR="009A13C5" w:rsidRPr="009A13C5" w:rsidRDefault="009A13C5" w:rsidP="009A13C5">
            <w:pPr>
              <w:jc w:val="right"/>
              <w:rPr>
                <w:rFonts w:cs="Calibri"/>
                <w:color w:val="000000"/>
                <w:sz w:val="16"/>
                <w:szCs w:val="16"/>
                <w:lang w:val="nl-BE" w:eastAsia="nl-BE"/>
              </w:rPr>
            </w:pPr>
            <w:r w:rsidRPr="009A13C5">
              <w:rPr>
                <w:sz w:val="16"/>
                <w:szCs w:val="16"/>
              </w:rPr>
              <w:t>244.613</w:t>
            </w:r>
          </w:p>
        </w:tc>
      </w:tr>
      <w:tr w:rsidR="009A13C5" w:rsidRPr="009A13C5" w14:paraId="3DA62B1C" w14:textId="77777777" w:rsidTr="009A13C5">
        <w:trPr>
          <w:trHeight w:val="288"/>
        </w:trPr>
        <w:tc>
          <w:tcPr>
            <w:tcW w:w="2122" w:type="dxa"/>
            <w:tcBorders>
              <w:top w:val="single" w:sz="4" w:space="0" w:color="000000"/>
              <w:left w:val="single" w:sz="4" w:space="0" w:color="000000"/>
              <w:bottom w:val="nil"/>
              <w:right w:val="nil"/>
            </w:tcBorders>
            <w:noWrap/>
            <w:vAlign w:val="center"/>
            <w:hideMark/>
          </w:tcPr>
          <w:p w14:paraId="690911B4" w14:textId="77777777" w:rsidR="009A13C5" w:rsidRPr="009A13C5" w:rsidRDefault="009A13C5" w:rsidP="009A13C5">
            <w:pPr>
              <w:jc w:val="left"/>
              <w:rPr>
                <w:rFonts w:cs="Calibri"/>
                <w:color w:val="000000"/>
                <w:sz w:val="16"/>
                <w:szCs w:val="16"/>
                <w:lang w:val="nl-BE" w:eastAsia="nl-BE"/>
              </w:rPr>
            </w:pPr>
            <w:r w:rsidRPr="009A13C5">
              <w:rPr>
                <w:rFonts w:cs="Calibri"/>
                <w:color w:val="000000"/>
                <w:sz w:val="16"/>
                <w:szCs w:val="16"/>
                <w:lang w:val="nl-BE" w:eastAsia="nl-BE"/>
              </w:rPr>
              <w:t>(3) Tweede herinnering</w:t>
            </w:r>
          </w:p>
        </w:tc>
        <w:tc>
          <w:tcPr>
            <w:tcW w:w="992" w:type="dxa"/>
            <w:tcBorders>
              <w:top w:val="single" w:sz="4" w:space="0" w:color="000000"/>
              <w:left w:val="nil"/>
              <w:bottom w:val="nil"/>
              <w:right w:val="nil"/>
            </w:tcBorders>
            <w:noWrap/>
            <w:vAlign w:val="center"/>
          </w:tcPr>
          <w:p w14:paraId="1BF9161C" w14:textId="15F7F7C1" w:rsidR="009A13C5" w:rsidRPr="009A13C5" w:rsidRDefault="009A13C5" w:rsidP="009A13C5">
            <w:pPr>
              <w:jc w:val="right"/>
              <w:rPr>
                <w:rFonts w:cs="Calibri"/>
                <w:color w:val="000000"/>
                <w:sz w:val="16"/>
                <w:szCs w:val="16"/>
                <w:lang w:val="nl-BE" w:eastAsia="nl-BE"/>
              </w:rPr>
            </w:pPr>
            <w:r w:rsidRPr="009A13C5">
              <w:rPr>
                <w:sz w:val="16"/>
                <w:szCs w:val="16"/>
              </w:rPr>
              <w:t>124.932</w:t>
            </w:r>
          </w:p>
        </w:tc>
        <w:tc>
          <w:tcPr>
            <w:tcW w:w="1140" w:type="dxa"/>
            <w:tcBorders>
              <w:top w:val="single" w:sz="4" w:space="0" w:color="000000"/>
              <w:left w:val="nil"/>
              <w:bottom w:val="nil"/>
              <w:right w:val="nil"/>
            </w:tcBorders>
            <w:noWrap/>
            <w:vAlign w:val="center"/>
          </w:tcPr>
          <w:p w14:paraId="3DD20358" w14:textId="41A2FC1F" w:rsidR="009A13C5" w:rsidRPr="009A13C5" w:rsidRDefault="009A13C5" w:rsidP="009A13C5">
            <w:pPr>
              <w:jc w:val="right"/>
              <w:rPr>
                <w:rFonts w:cs="Calibri"/>
                <w:color w:val="000000"/>
                <w:sz w:val="16"/>
                <w:szCs w:val="16"/>
                <w:lang w:val="nl-BE" w:eastAsia="nl-BE"/>
              </w:rPr>
            </w:pPr>
            <w:r w:rsidRPr="009A13C5">
              <w:rPr>
                <w:sz w:val="16"/>
                <w:szCs w:val="16"/>
              </w:rPr>
              <w:t>121.682</w:t>
            </w:r>
          </w:p>
        </w:tc>
        <w:tc>
          <w:tcPr>
            <w:tcW w:w="1140" w:type="dxa"/>
            <w:tcBorders>
              <w:top w:val="single" w:sz="4" w:space="0" w:color="000000"/>
              <w:left w:val="nil"/>
              <w:bottom w:val="nil"/>
              <w:right w:val="nil"/>
            </w:tcBorders>
            <w:noWrap/>
            <w:vAlign w:val="center"/>
          </w:tcPr>
          <w:p w14:paraId="3CD71246" w14:textId="6A5255BA" w:rsidR="009A13C5" w:rsidRPr="009A13C5" w:rsidRDefault="009A13C5" w:rsidP="009A13C5">
            <w:pPr>
              <w:jc w:val="right"/>
              <w:rPr>
                <w:rFonts w:cs="Calibri"/>
                <w:color w:val="000000"/>
                <w:sz w:val="16"/>
                <w:szCs w:val="16"/>
                <w:lang w:val="nl-BE" w:eastAsia="nl-BE"/>
              </w:rPr>
            </w:pPr>
            <w:r w:rsidRPr="009A13C5">
              <w:rPr>
                <w:sz w:val="16"/>
                <w:szCs w:val="16"/>
              </w:rPr>
              <w:t>150.495</w:t>
            </w:r>
          </w:p>
        </w:tc>
        <w:tc>
          <w:tcPr>
            <w:tcW w:w="1140" w:type="dxa"/>
            <w:tcBorders>
              <w:top w:val="single" w:sz="4" w:space="0" w:color="000000"/>
              <w:left w:val="nil"/>
              <w:bottom w:val="nil"/>
              <w:right w:val="nil"/>
            </w:tcBorders>
            <w:noWrap/>
            <w:vAlign w:val="center"/>
          </w:tcPr>
          <w:p w14:paraId="21E4CFF6" w14:textId="3697B3B8" w:rsidR="009A13C5" w:rsidRPr="009A13C5" w:rsidRDefault="009A13C5" w:rsidP="009A13C5">
            <w:pPr>
              <w:jc w:val="right"/>
              <w:rPr>
                <w:rFonts w:cs="Calibri"/>
                <w:color w:val="000000"/>
                <w:sz w:val="16"/>
                <w:szCs w:val="16"/>
                <w:lang w:val="nl-BE" w:eastAsia="nl-BE"/>
              </w:rPr>
            </w:pPr>
            <w:r w:rsidRPr="009A13C5">
              <w:rPr>
                <w:sz w:val="16"/>
                <w:szCs w:val="16"/>
              </w:rPr>
              <w:t>176.869</w:t>
            </w:r>
          </w:p>
        </w:tc>
        <w:tc>
          <w:tcPr>
            <w:tcW w:w="1140" w:type="dxa"/>
            <w:tcBorders>
              <w:top w:val="single" w:sz="4" w:space="0" w:color="000000"/>
              <w:left w:val="nil"/>
              <w:bottom w:val="nil"/>
              <w:right w:val="nil"/>
            </w:tcBorders>
            <w:noWrap/>
            <w:vAlign w:val="center"/>
          </w:tcPr>
          <w:p w14:paraId="620AE39C" w14:textId="5E71FCAA" w:rsidR="009A13C5" w:rsidRPr="009A13C5" w:rsidRDefault="009A13C5" w:rsidP="009A13C5">
            <w:pPr>
              <w:jc w:val="right"/>
              <w:rPr>
                <w:rFonts w:cs="Calibri"/>
                <w:color w:val="000000"/>
                <w:sz w:val="16"/>
                <w:szCs w:val="16"/>
                <w:lang w:val="nl-BE" w:eastAsia="nl-BE"/>
              </w:rPr>
            </w:pPr>
            <w:r w:rsidRPr="009A13C5">
              <w:rPr>
                <w:sz w:val="16"/>
                <w:szCs w:val="16"/>
              </w:rPr>
              <w:t>182.392</w:t>
            </w:r>
          </w:p>
        </w:tc>
        <w:tc>
          <w:tcPr>
            <w:tcW w:w="1393" w:type="dxa"/>
            <w:tcBorders>
              <w:top w:val="single" w:sz="4" w:space="0" w:color="000000"/>
              <w:left w:val="nil"/>
              <w:bottom w:val="nil"/>
              <w:right w:val="single" w:sz="4" w:space="0" w:color="000000"/>
            </w:tcBorders>
            <w:noWrap/>
            <w:vAlign w:val="center"/>
          </w:tcPr>
          <w:p w14:paraId="56CAD04E" w14:textId="7C3A3340" w:rsidR="009A13C5" w:rsidRPr="009A13C5" w:rsidRDefault="009A13C5" w:rsidP="009A13C5">
            <w:pPr>
              <w:jc w:val="right"/>
              <w:rPr>
                <w:rFonts w:cs="Calibri"/>
                <w:color w:val="000000"/>
                <w:sz w:val="16"/>
                <w:szCs w:val="16"/>
                <w:lang w:val="nl-BE" w:eastAsia="nl-BE"/>
              </w:rPr>
            </w:pPr>
            <w:r w:rsidRPr="009A13C5">
              <w:rPr>
                <w:sz w:val="16"/>
                <w:szCs w:val="16"/>
              </w:rPr>
              <w:t>92.770</w:t>
            </w:r>
          </w:p>
        </w:tc>
      </w:tr>
      <w:tr w:rsidR="009A13C5" w:rsidRPr="009A13C5" w14:paraId="683F1108" w14:textId="77777777" w:rsidTr="009A13C5">
        <w:trPr>
          <w:trHeight w:val="288"/>
        </w:trPr>
        <w:tc>
          <w:tcPr>
            <w:tcW w:w="2122" w:type="dxa"/>
            <w:tcBorders>
              <w:top w:val="single" w:sz="4" w:space="0" w:color="000000"/>
              <w:left w:val="single" w:sz="4" w:space="0" w:color="000000"/>
              <w:bottom w:val="nil"/>
              <w:right w:val="nil"/>
            </w:tcBorders>
            <w:noWrap/>
            <w:vAlign w:val="center"/>
            <w:hideMark/>
          </w:tcPr>
          <w:p w14:paraId="2AD0A4CB" w14:textId="77777777" w:rsidR="009A13C5" w:rsidRPr="009A13C5" w:rsidRDefault="009A13C5" w:rsidP="009A13C5">
            <w:pPr>
              <w:jc w:val="left"/>
              <w:rPr>
                <w:rFonts w:cs="Calibri"/>
                <w:color w:val="000000"/>
                <w:sz w:val="16"/>
                <w:szCs w:val="16"/>
                <w:lang w:val="nl-BE" w:eastAsia="nl-BE"/>
              </w:rPr>
            </w:pPr>
            <w:r w:rsidRPr="009A13C5">
              <w:rPr>
                <w:rFonts w:cs="Calibri"/>
                <w:color w:val="000000"/>
                <w:sz w:val="16"/>
                <w:szCs w:val="16"/>
                <w:lang w:val="nl-BE" w:eastAsia="nl-BE"/>
              </w:rPr>
              <w:t>(4) Dwangschrift</w:t>
            </w:r>
          </w:p>
        </w:tc>
        <w:tc>
          <w:tcPr>
            <w:tcW w:w="992" w:type="dxa"/>
            <w:tcBorders>
              <w:top w:val="single" w:sz="4" w:space="0" w:color="000000"/>
              <w:left w:val="nil"/>
              <w:bottom w:val="nil"/>
              <w:right w:val="nil"/>
            </w:tcBorders>
            <w:noWrap/>
            <w:vAlign w:val="center"/>
          </w:tcPr>
          <w:p w14:paraId="214ECE7F" w14:textId="585E792F" w:rsidR="009A13C5" w:rsidRPr="009A13C5" w:rsidRDefault="009A13C5" w:rsidP="009A13C5">
            <w:pPr>
              <w:jc w:val="right"/>
              <w:rPr>
                <w:rFonts w:cs="Calibri"/>
                <w:color w:val="000000"/>
                <w:sz w:val="16"/>
                <w:szCs w:val="16"/>
                <w:lang w:val="nl-BE" w:eastAsia="nl-BE"/>
              </w:rPr>
            </w:pPr>
            <w:r w:rsidRPr="009A13C5">
              <w:rPr>
                <w:sz w:val="16"/>
                <w:szCs w:val="16"/>
              </w:rPr>
              <w:t>60.689</w:t>
            </w:r>
          </w:p>
        </w:tc>
        <w:tc>
          <w:tcPr>
            <w:tcW w:w="1140" w:type="dxa"/>
            <w:tcBorders>
              <w:top w:val="single" w:sz="4" w:space="0" w:color="000000"/>
              <w:left w:val="nil"/>
              <w:bottom w:val="nil"/>
              <w:right w:val="nil"/>
            </w:tcBorders>
            <w:noWrap/>
            <w:vAlign w:val="center"/>
          </w:tcPr>
          <w:p w14:paraId="6754B44D" w14:textId="4EB80CB0" w:rsidR="009A13C5" w:rsidRPr="009A13C5" w:rsidRDefault="009A13C5" w:rsidP="009A13C5">
            <w:pPr>
              <w:jc w:val="right"/>
              <w:rPr>
                <w:rFonts w:cs="Calibri"/>
                <w:color w:val="000000"/>
                <w:sz w:val="16"/>
                <w:szCs w:val="16"/>
                <w:lang w:val="nl-BE" w:eastAsia="nl-BE"/>
              </w:rPr>
            </w:pPr>
            <w:r w:rsidRPr="009A13C5">
              <w:rPr>
                <w:sz w:val="16"/>
                <w:szCs w:val="16"/>
              </w:rPr>
              <w:t>61.069</w:t>
            </w:r>
          </w:p>
        </w:tc>
        <w:tc>
          <w:tcPr>
            <w:tcW w:w="1140" w:type="dxa"/>
            <w:tcBorders>
              <w:top w:val="single" w:sz="4" w:space="0" w:color="000000"/>
              <w:left w:val="nil"/>
              <w:bottom w:val="nil"/>
              <w:right w:val="nil"/>
            </w:tcBorders>
            <w:noWrap/>
            <w:vAlign w:val="center"/>
          </w:tcPr>
          <w:p w14:paraId="3795E9D4" w14:textId="6D6BEE67" w:rsidR="009A13C5" w:rsidRPr="009A13C5" w:rsidRDefault="009A13C5" w:rsidP="009A13C5">
            <w:pPr>
              <w:jc w:val="right"/>
              <w:rPr>
                <w:rFonts w:cs="Calibri"/>
                <w:color w:val="000000"/>
                <w:sz w:val="16"/>
                <w:szCs w:val="16"/>
                <w:lang w:val="nl-BE" w:eastAsia="nl-BE"/>
              </w:rPr>
            </w:pPr>
            <w:r w:rsidRPr="009A13C5">
              <w:rPr>
                <w:sz w:val="16"/>
                <w:szCs w:val="16"/>
              </w:rPr>
              <w:t>65.380</w:t>
            </w:r>
          </w:p>
        </w:tc>
        <w:tc>
          <w:tcPr>
            <w:tcW w:w="1140" w:type="dxa"/>
            <w:tcBorders>
              <w:top w:val="single" w:sz="4" w:space="0" w:color="000000"/>
              <w:left w:val="nil"/>
              <w:bottom w:val="nil"/>
              <w:right w:val="nil"/>
            </w:tcBorders>
            <w:noWrap/>
            <w:vAlign w:val="center"/>
          </w:tcPr>
          <w:p w14:paraId="0D384D86" w14:textId="566CC1AF" w:rsidR="009A13C5" w:rsidRPr="009A13C5" w:rsidRDefault="009A13C5" w:rsidP="009A13C5">
            <w:pPr>
              <w:jc w:val="right"/>
              <w:rPr>
                <w:rFonts w:cs="Calibri"/>
                <w:color w:val="000000"/>
                <w:sz w:val="16"/>
                <w:szCs w:val="16"/>
                <w:lang w:val="nl-BE" w:eastAsia="nl-BE"/>
              </w:rPr>
            </w:pPr>
            <w:r w:rsidRPr="009A13C5">
              <w:rPr>
                <w:sz w:val="16"/>
                <w:szCs w:val="16"/>
              </w:rPr>
              <w:t>69.057</w:t>
            </w:r>
          </w:p>
        </w:tc>
        <w:tc>
          <w:tcPr>
            <w:tcW w:w="1140" w:type="dxa"/>
            <w:tcBorders>
              <w:top w:val="single" w:sz="4" w:space="0" w:color="000000"/>
              <w:left w:val="nil"/>
              <w:bottom w:val="nil"/>
              <w:right w:val="nil"/>
            </w:tcBorders>
            <w:noWrap/>
            <w:vAlign w:val="center"/>
          </w:tcPr>
          <w:p w14:paraId="4402C98C" w14:textId="6BECAE10" w:rsidR="009A13C5" w:rsidRPr="009A13C5" w:rsidRDefault="009A13C5" w:rsidP="009A13C5">
            <w:pPr>
              <w:jc w:val="right"/>
              <w:rPr>
                <w:rFonts w:cs="Calibri"/>
                <w:color w:val="000000"/>
                <w:sz w:val="16"/>
                <w:szCs w:val="16"/>
                <w:lang w:val="nl-BE" w:eastAsia="nl-BE"/>
              </w:rPr>
            </w:pPr>
            <w:r w:rsidRPr="009A13C5">
              <w:rPr>
                <w:sz w:val="16"/>
                <w:szCs w:val="16"/>
              </w:rPr>
              <w:t>65.801</w:t>
            </w:r>
          </w:p>
        </w:tc>
        <w:tc>
          <w:tcPr>
            <w:tcW w:w="1393" w:type="dxa"/>
            <w:tcBorders>
              <w:top w:val="single" w:sz="4" w:space="0" w:color="000000"/>
              <w:left w:val="nil"/>
              <w:bottom w:val="nil"/>
              <w:right w:val="single" w:sz="4" w:space="0" w:color="000000"/>
            </w:tcBorders>
            <w:noWrap/>
            <w:vAlign w:val="center"/>
          </w:tcPr>
          <w:p w14:paraId="39FADEB8" w14:textId="01E39059" w:rsidR="009A13C5" w:rsidRPr="009A13C5" w:rsidRDefault="009A13C5" w:rsidP="009A13C5">
            <w:pPr>
              <w:jc w:val="right"/>
              <w:rPr>
                <w:rFonts w:cs="Calibri"/>
                <w:color w:val="000000"/>
                <w:sz w:val="16"/>
                <w:szCs w:val="16"/>
                <w:lang w:val="nl-BE" w:eastAsia="nl-BE"/>
              </w:rPr>
            </w:pPr>
            <w:r w:rsidRPr="009A13C5">
              <w:rPr>
                <w:sz w:val="16"/>
                <w:szCs w:val="16"/>
              </w:rPr>
              <w:t>16.391</w:t>
            </w:r>
          </w:p>
        </w:tc>
      </w:tr>
      <w:tr w:rsidR="009A13C5" w:rsidRPr="009A13C5" w14:paraId="50A0BD22" w14:textId="77777777" w:rsidTr="009A13C5">
        <w:trPr>
          <w:trHeight w:val="288"/>
        </w:trPr>
        <w:tc>
          <w:tcPr>
            <w:tcW w:w="2122" w:type="dxa"/>
            <w:tcBorders>
              <w:top w:val="double" w:sz="6" w:space="0" w:color="000000"/>
              <w:left w:val="single" w:sz="4" w:space="0" w:color="000000"/>
              <w:bottom w:val="single" w:sz="4" w:space="0" w:color="000000"/>
              <w:right w:val="nil"/>
            </w:tcBorders>
            <w:noWrap/>
            <w:vAlign w:val="center"/>
            <w:hideMark/>
          </w:tcPr>
          <w:p w14:paraId="567D5817" w14:textId="77777777" w:rsidR="009A13C5" w:rsidRPr="009A13C5" w:rsidRDefault="009A13C5" w:rsidP="009A13C5">
            <w:pPr>
              <w:jc w:val="left"/>
              <w:rPr>
                <w:rFonts w:cs="Calibri"/>
                <w:b/>
                <w:bCs/>
                <w:color w:val="000000"/>
                <w:sz w:val="16"/>
                <w:szCs w:val="16"/>
                <w:lang w:val="nl-BE" w:eastAsia="nl-BE"/>
              </w:rPr>
            </w:pPr>
            <w:r w:rsidRPr="009A13C5">
              <w:rPr>
                <w:rFonts w:cs="Calibri"/>
                <w:b/>
                <w:bCs/>
                <w:color w:val="000000"/>
                <w:sz w:val="16"/>
                <w:szCs w:val="16"/>
                <w:lang w:val="nl-BE" w:eastAsia="nl-BE"/>
              </w:rPr>
              <w:t>Totaal</w:t>
            </w:r>
          </w:p>
        </w:tc>
        <w:tc>
          <w:tcPr>
            <w:tcW w:w="992" w:type="dxa"/>
            <w:tcBorders>
              <w:top w:val="double" w:sz="6" w:space="0" w:color="000000"/>
              <w:left w:val="nil"/>
              <w:bottom w:val="single" w:sz="4" w:space="0" w:color="000000"/>
              <w:right w:val="nil"/>
            </w:tcBorders>
            <w:noWrap/>
            <w:vAlign w:val="center"/>
          </w:tcPr>
          <w:p w14:paraId="21A951AF" w14:textId="3D973003" w:rsidR="009A13C5" w:rsidRPr="009A13C5" w:rsidRDefault="009A13C5" w:rsidP="009A13C5">
            <w:pPr>
              <w:jc w:val="right"/>
              <w:rPr>
                <w:rFonts w:cs="Calibri"/>
                <w:b/>
                <w:bCs/>
                <w:color w:val="000000"/>
                <w:sz w:val="16"/>
                <w:szCs w:val="16"/>
                <w:lang w:val="nl-BE" w:eastAsia="nl-BE"/>
              </w:rPr>
            </w:pPr>
            <w:r w:rsidRPr="009A13C5">
              <w:rPr>
                <w:sz w:val="16"/>
                <w:szCs w:val="16"/>
              </w:rPr>
              <w:t>4.769.022</w:t>
            </w:r>
          </w:p>
        </w:tc>
        <w:tc>
          <w:tcPr>
            <w:tcW w:w="1140" w:type="dxa"/>
            <w:tcBorders>
              <w:top w:val="double" w:sz="6" w:space="0" w:color="000000"/>
              <w:left w:val="nil"/>
              <w:bottom w:val="single" w:sz="4" w:space="0" w:color="000000"/>
              <w:right w:val="nil"/>
            </w:tcBorders>
            <w:noWrap/>
            <w:vAlign w:val="center"/>
          </w:tcPr>
          <w:p w14:paraId="77AF6C8E" w14:textId="32972674" w:rsidR="009A13C5" w:rsidRPr="009A13C5" w:rsidRDefault="009A13C5" w:rsidP="009A13C5">
            <w:pPr>
              <w:jc w:val="right"/>
              <w:rPr>
                <w:rFonts w:cs="Calibri"/>
                <w:b/>
                <w:bCs/>
                <w:color w:val="000000"/>
                <w:sz w:val="16"/>
                <w:szCs w:val="16"/>
                <w:lang w:val="nl-BE" w:eastAsia="nl-BE"/>
              </w:rPr>
            </w:pPr>
            <w:r w:rsidRPr="009A13C5">
              <w:rPr>
                <w:sz w:val="16"/>
                <w:szCs w:val="16"/>
              </w:rPr>
              <w:t>4.776.043</w:t>
            </w:r>
          </w:p>
        </w:tc>
        <w:tc>
          <w:tcPr>
            <w:tcW w:w="1140" w:type="dxa"/>
            <w:tcBorders>
              <w:top w:val="double" w:sz="6" w:space="0" w:color="000000"/>
              <w:left w:val="nil"/>
              <w:bottom w:val="single" w:sz="4" w:space="0" w:color="000000"/>
              <w:right w:val="nil"/>
            </w:tcBorders>
            <w:noWrap/>
            <w:vAlign w:val="center"/>
          </w:tcPr>
          <w:p w14:paraId="1FE47674" w14:textId="1954CEC2" w:rsidR="009A13C5" w:rsidRPr="009A13C5" w:rsidRDefault="009A13C5" w:rsidP="009A13C5">
            <w:pPr>
              <w:jc w:val="right"/>
              <w:rPr>
                <w:rFonts w:cs="Calibri"/>
                <w:b/>
                <w:bCs/>
                <w:color w:val="000000"/>
                <w:sz w:val="16"/>
                <w:szCs w:val="16"/>
                <w:lang w:val="nl-BE" w:eastAsia="nl-BE"/>
              </w:rPr>
            </w:pPr>
            <w:r w:rsidRPr="009A13C5">
              <w:rPr>
                <w:sz w:val="16"/>
                <w:szCs w:val="16"/>
              </w:rPr>
              <w:t>4.785.113</w:t>
            </w:r>
          </w:p>
        </w:tc>
        <w:tc>
          <w:tcPr>
            <w:tcW w:w="1140" w:type="dxa"/>
            <w:tcBorders>
              <w:top w:val="double" w:sz="6" w:space="0" w:color="000000"/>
              <w:left w:val="nil"/>
              <w:bottom w:val="single" w:sz="4" w:space="0" w:color="000000"/>
              <w:right w:val="nil"/>
            </w:tcBorders>
            <w:noWrap/>
            <w:vAlign w:val="center"/>
          </w:tcPr>
          <w:p w14:paraId="1AA10527" w14:textId="60361B11" w:rsidR="009A13C5" w:rsidRPr="009A13C5" w:rsidRDefault="009A13C5" w:rsidP="009A13C5">
            <w:pPr>
              <w:jc w:val="right"/>
              <w:rPr>
                <w:rFonts w:cs="Calibri"/>
                <w:b/>
                <w:bCs/>
                <w:color w:val="000000"/>
                <w:sz w:val="16"/>
                <w:szCs w:val="16"/>
                <w:lang w:val="nl-BE" w:eastAsia="nl-BE"/>
              </w:rPr>
            </w:pPr>
            <w:r w:rsidRPr="009A13C5">
              <w:rPr>
                <w:sz w:val="16"/>
                <w:szCs w:val="16"/>
              </w:rPr>
              <w:t>4.837.172</w:t>
            </w:r>
          </w:p>
        </w:tc>
        <w:tc>
          <w:tcPr>
            <w:tcW w:w="1140" w:type="dxa"/>
            <w:tcBorders>
              <w:top w:val="double" w:sz="6" w:space="0" w:color="000000"/>
              <w:left w:val="nil"/>
              <w:bottom w:val="single" w:sz="4" w:space="0" w:color="000000"/>
              <w:right w:val="nil"/>
            </w:tcBorders>
            <w:noWrap/>
            <w:vAlign w:val="center"/>
          </w:tcPr>
          <w:p w14:paraId="2E4F67CF" w14:textId="5D24CA3D" w:rsidR="009A13C5" w:rsidRPr="009A13C5" w:rsidRDefault="009A13C5" w:rsidP="009A13C5">
            <w:pPr>
              <w:jc w:val="right"/>
              <w:rPr>
                <w:rFonts w:cs="Calibri"/>
                <w:b/>
                <w:bCs/>
                <w:color w:val="000000"/>
                <w:sz w:val="16"/>
                <w:szCs w:val="16"/>
                <w:lang w:val="nl-BE" w:eastAsia="nl-BE"/>
              </w:rPr>
            </w:pPr>
            <w:r w:rsidRPr="009A13C5">
              <w:rPr>
                <w:sz w:val="16"/>
                <w:szCs w:val="16"/>
              </w:rPr>
              <w:t>4.788.787</w:t>
            </w:r>
          </w:p>
        </w:tc>
        <w:tc>
          <w:tcPr>
            <w:tcW w:w="1393" w:type="dxa"/>
            <w:tcBorders>
              <w:top w:val="double" w:sz="6" w:space="0" w:color="000000"/>
              <w:left w:val="nil"/>
              <w:bottom w:val="single" w:sz="4" w:space="0" w:color="000000"/>
              <w:right w:val="single" w:sz="4" w:space="0" w:color="000000"/>
            </w:tcBorders>
            <w:noWrap/>
            <w:vAlign w:val="center"/>
          </w:tcPr>
          <w:p w14:paraId="374E4458" w14:textId="3B9C79CE" w:rsidR="009A13C5" w:rsidRPr="009A13C5" w:rsidRDefault="009A13C5" w:rsidP="009A13C5">
            <w:pPr>
              <w:jc w:val="right"/>
              <w:rPr>
                <w:rFonts w:cs="Calibri"/>
                <w:b/>
                <w:bCs/>
                <w:color w:val="000000"/>
                <w:sz w:val="16"/>
                <w:szCs w:val="16"/>
                <w:lang w:val="nl-BE" w:eastAsia="nl-BE"/>
              </w:rPr>
            </w:pPr>
            <w:r w:rsidRPr="009A13C5">
              <w:rPr>
                <w:sz w:val="16"/>
                <w:szCs w:val="16"/>
              </w:rPr>
              <w:t>4.816.250</w:t>
            </w:r>
          </w:p>
        </w:tc>
      </w:tr>
    </w:tbl>
    <w:p w14:paraId="56716209" w14:textId="77777777" w:rsidR="009A13C5" w:rsidRDefault="009A13C5" w:rsidP="004F412B"/>
    <w:p w14:paraId="3C787020" w14:textId="163B9BE6" w:rsidR="00DD2D3B" w:rsidRDefault="00DD2D3B" w:rsidP="00DD2D3B">
      <w:pPr>
        <w:numPr>
          <w:ilvl w:val="0"/>
          <w:numId w:val="19"/>
        </w:numPr>
        <w:ind w:left="284" w:hanging="284"/>
      </w:pPr>
      <w:r>
        <w:t xml:space="preserve">De dienst die aanvragen voor een afbetalingsplan behandelt, doet dat voor alle belastingen en een </w:t>
      </w:r>
      <w:r w:rsidRPr="00DD2D3B">
        <w:t xml:space="preserve">invorderingsproces wordt per belastingplichtige doorlopen voor alle openstaande schulden. </w:t>
      </w:r>
      <w:r>
        <w:t xml:space="preserve">Een berekening van de kosten voor </w:t>
      </w:r>
      <w:r w:rsidR="00FD2F4E">
        <w:t xml:space="preserve">specifiek </w:t>
      </w:r>
      <w:r>
        <w:t xml:space="preserve">de verkeersbelastingen is </w:t>
      </w:r>
      <w:r w:rsidR="00FD2F4E">
        <w:t>met andere woorden</w:t>
      </w:r>
      <w:r>
        <w:t xml:space="preserve"> </w:t>
      </w:r>
      <w:r w:rsidR="00FD2F4E">
        <w:t>on</w:t>
      </w:r>
      <w:r>
        <w:t>mogelijk.</w:t>
      </w:r>
      <w:bookmarkStart w:id="3" w:name="_Hlk65844225"/>
    </w:p>
    <w:p w14:paraId="758AA616" w14:textId="07D873E4" w:rsidR="00DD2D3B" w:rsidRPr="00DD2D3B" w:rsidRDefault="00DD2D3B" w:rsidP="00DD2D3B">
      <w:pPr>
        <w:ind w:left="284"/>
      </w:pPr>
      <w:r>
        <w:t>Specifieke i</w:t>
      </w:r>
      <w:r w:rsidRPr="00DD2D3B">
        <w:t xml:space="preserve">nvorderingskosten </w:t>
      </w:r>
      <w:r>
        <w:t xml:space="preserve">(deurwaarder, beslag, …) </w:t>
      </w:r>
      <w:r w:rsidRPr="00DD2D3B">
        <w:t xml:space="preserve">zijn in principe ten laste van de belastingplichtige. Enkel wanneer ze wegens insolvabiliteit van de schuldenaar niet kunnen geïnd worden, </w:t>
      </w:r>
      <w:r w:rsidR="00FD2F4E">
        <w:t xml:space="preserve">kunnen </w:t>
      </w:r>
      <w:r w:rsidRPr="00DD2D3B">
        <w:t xml:space="preserve">ze doorgerekend </w:t>
      </w:r>
      <w:r w:rsidR="00FD2F4E">
        <w:t xml:space="preserve">worden </w:t>
      </w:r>
      <w:r w:rsidRPr="00DD2D3B">
        <w:t>aan de Vlaamse Belastingdienst. Andere inningskosten (bv. versturen van herinneringen, opvolgen van faillissementen of collectieve schuldenregelingen) worden opgenomen binnen de algemene werkingsmiddelen.</w:t>
      </w:r>
    </w:p>
    <w:bookmarkEnd w:id="3"/>
    <w:p w14:paraId="1E14BE75" w14:textId="77777777" w:rsidR="00295A59" w:rsidRDefault="00295A59" w:rsidP="00295A59">
      <w:pPr>
        <w:ind w:left="284"/>
      </w:pPr>
    </w:p>
    <w:p w14:paraId="06D59BC6" w14:textId="34B88EC5" w:rsidR="00816834" w:rsidRDefault="00816834" w:rsidP="00816834">
      <w:pPr>
        <w:numPr>
          <w:ilvl w:val="0"/>
          <w:numId w:val="19"/>
        </w:numPr>
        <w:ind w:left="284" w:hanging="284"/>
      </w:pPr>
      <w:r>
        <w:t xml:space="preserve">In onderstaande tabel vindt u per aanslagjaar de </w:t>
      </w:r>
      <w:r w:rsidR="006C0365">
        <w:t xml:space="preserve">verschuldigde </w:t>
      </w:r>
      <w:r>
        <w:t xml:space="preserve">nalatigheidsinteresten </w:t>
      </w:r>
      <w:r w:rsidR="006C0365">
        <w:t xml:space="preserve">(in euro) </w:t>
      </w:r>
      <w:r>
        <w:t>op vorderingen m.b.t. de verkeersbelastingen.</w:t>
      </w:r>
      <w:r w:rsidR="006C0365">
        <w:t xml:space="preserve"> </w:t>
      </w:r>
      <w:r w:rsidR="00D5619B">
        <w:t xml:space="preserve">De nalatigheidsinteresten bedragen </w:t>
      </w:r>
      <w:r w:rsidR="006C0365">
        <w:t>ongeveer 0,</w:t>
      </w:r>
      <w:r w:rsidR="00D5619B">
        <w:t>0</w:t>
      </w:r>
      <w:r w:rsidR="006C0365">
        <w:t xml:space="preserve">2% van </w:t>
      </w:r>
      <w:r w:rsidR="00D5619B">
        <w:t>de ontvangsten voor verkeersbelastingen</w:t>
      </w:r>
      <w:r w:rsidR="006C0365">
        <w:t>.</w:t>
      </w:r>
      <w:r w:rsidR="00D70424">
        <w:t xml:space="preserve"> Deze blijven dus beperkt in verhouding tot de totale ontvangsten.</w:t>
      </w:r>
      <w:r w:rsidR="00C06D56">
        <w:tab/>
      </w:r>
      <w:r w:rsidR="00D70424">
        <w:br/>
        <w:t>Zij hebben vooral een aansporend karakter om tijdige betaling te stimuleren en vormen geen wezenlijke ontvangstpost binnen de verkeersbelasting.</w:t>
      </w:r>
    </w:p>
    <w:p w14:paraId="7A8414A8" w14:textId="77777777" w:rsidR="00816834" w:rsidRDefault="00816834" w:rsidP="004F412B"/>
    <w:tbl>
      <w:tblPr>
        <w:tblW w:w="3304" w:type="dxa"/>
        <w:tblInd w:w="279" w:type="dxa"/>
        <w:tblBorders>
          <w:top w:val="single" w:sz="4" w:space="0" w:color="auto"/>
          <w:left w:val="single" w:sz="4" w:space="0" w:color="auto"/>
          <w:bottom w:val="single" w:sz="4" w:space="0" w:color="auto"/>
          <w:right w:val="single" w:sz="4" w:space="0" w:color="auto"/>
          <w:insideH w:val="single" w:sz="4" w:space="0" w:color="000000"/>
        </w:tblBorders>
        <w:tblCellMar>
          <w:left w:w="70" w:type="dxa"/>
          <w:right w:w="70" w:type="dxa"/>
        </w:tblCellMar>
        <w:tblLook w:val="04A0" w:firstRow="1" w:lastRow="0" w:firstColumn="1" w:lastColumn="0" w:noHBand="0" w:noVBand="1"/>
      </w:tblPr>
      <w:tblGrid>
        <w:gridCol w:w="1984"/>
        <w:gridCol w:w="1320"/>
      </w:tblGrid>
      <w:tr w:rsidR="006C0365" w:rsidRPr="006C0365" w14:paraId="112DD658" w14:textId="77777777" w:rsidTr="006C0365">
        <w:trPr>
          <w:trHeight w:val="288"/>
        </w:trPr>
        <w:tc>
          <w:tcPr>
            <w:tcW w:w="1984" w:type="dxa"/>
            <w:noWrap/>
            <w:vAlign w:val="bottom"/>
            <w:hideMark/>
          </w:tcPr>
          <w:p w14:paraId="701AE9D1" w14:textId="3D233760" w:rsidR="006C0365" w:rsidRPr="006C0365" w:rsidRDefault="006C0365" w:rsidP="006C0365">
            <w:pPr>
              <w:jc w:val="left"/>
              <w:rPr>
                <w:b/>
                <w:bCs/>
                <w:sz w:val="18"/>
                <w:szCs w:val="18"/>
                <w:lang w:val="nl-BE" w:eastAsia="nl-BE"/>
              </w:rPr>
            </w:pPr>
            <w:r w:rsidRPr="006C0365">
              <w:rPr>
                <w:b/>
                <w:bCs/>
                <w:sz w:val="18"/>
                <w:szCs w:val="18"/>
                <w:lang w:val="nl-BE" w:eastAsia="nl-BE"/>
              </w:rPr>
              <w:t>Aanslagjaar</w:t>
            </w:r>
          </w:p>
        </w:tc>
        <w:tc>
          <w:tcPr>
            <w:tcW w:w="1320" w:type="dxa"/>
            <w:noWrap/>
            <w:vAlign w:val="bottom"/>
            <w:hideMark/>
          </w:tcPr>
          <w:p w14:paraId="31B1E869" w14:textId="6DF63244" w:rsidR="006C0365" w:rsidRPr="006C0365" w:rsidRDefault="006C0365" w:rsidP="006C0365">
            <w:pPr>
              <w:jc w:val="right"/>
              <w:rPr>
                <w:b/>
                <w:bCs/>
                <w:sz w:val="18"/>
                <w:szCs w:val="18"/>
                <w:lang w:val="nl-BE" w:eastAsia="nl-BE"/>
              </w:rPr>
            </w:pPr>
            <w:r w:rsidRPr="006C0365">
              <w:rPr>
                <w:b/>
                <w:bCs/>
                <w:sz w:val="18"/>
                <w:szCs w:val="18"/>
                <w:lang w:val="nl-BE" w:eastAsia="nl-BE"/>
              </w:rPr>
              <w:t>Interesten</w:t>
            </w:r>
          </w:p>
        </w:tc>
      </w:tr>
      <w:tr w:rsidR="006C0365" w:rsidRPr="006C0365" w14:paraId="7860DEEB" w14:textId="77777777" w:rsidTr="006C0365">
        <w:trPr>
          <w:trHeight w:val="288"/>
        </w:trPr>
        <w:tc>
          <w:tcPr>
            <w:tcW w:w="1984" w:type="dxa"/>
            <w:noWrap/>
            <w:vAlign w:val="bottom"/>
            <w:hideMark/>
          </w:tcPr>
          <w:p w14:paraId="2684AB69" w14:textId="77777777" w:rsidR="006C0365" w:rsidRPr="006C0365" w:rsidRDefault="006C0365" w:rsidP="006C0365">
            <w:pPr>
              <w:jc w:val="left"/>
              <w:rPr>
                <w:color w:val="000000"/>
                <w:sz w:val="18"/>
                <w:szCs w:val="18"/>
                <w:lang w:val="nl-BE" w:eastAsia="nl-BE"/>
              </w:rPr>
            </w:pPr>
            <w:r w:rsidRPr="006C0365">
              <w:rPr>
                <w:color w:val="000000"/>
                <w:sz w:val="18"/>
                <w:szCs w:val="18"/>
                <w:lang w:val="nl-BE" w:eastAsia="nl-BE"/>
              </w:rPr>
              <w:t>2019</w:t>
            </w:r>
          </w:p>
        </w:tc>
        <w:tc>
          <w:tcPr>
            <w:tcW w:w="1320" w:type="dxa"/>
            <w:noWrap/>
            <w:vAlign w:val="bottom"/>
            <w:hideMark/>
          </w:tcPr>
          <w:p w14:paraId="54811DCB" w14:textId="54652E36" w:rsidR="006C0365" w:rsidRPr="006C0365" w:rsidRDefault="006C0365" w:rsidP="006C0365">
            <w:pPr>
              <w:jc w:val="right"/>
              <w:rPr>
                <w:color w:val="000000"/>
                <w:sz w:val="18"/>
                <w:szCs w:val="18"/>
                <w:lang w:val="nl-BE" w:eastAsia="nl-BE"/>
              </w:rPr>
            </w:pPr>
            <w:r w:rsidRPr="006C0365">
              <w:rPr>
                <w:color w:val="000000"/>
                <w:sz w:val="18"/>
                <w:szCs w:val="18"/>
                <w:lang w:val="nl-BE" w:eastAsia="nl-BE"/>
              </w:rPr>
              <w:t>916.411</w:t>
            </w:r>
          </w:p>
        </w:tc>
      </w:tr>
      <w:tr w:rsidR="006C0365" w:rsidRPr="006C0365" w14:paraId="0DBA578E" w14:textId="77777777" w:rsidTr="006C0365">
        <w:trPr>
          <w:trHeight w:val="288"/>
        </w:trPr>
        <w:tc>
          <w:tcPr>
            <w:tcW w:w="1984" w:type="dxa"/>
            <w:noWrap/>
            <w:vAlign w:val="bottom"/>
            <w:hideMark/>
          </w:tcPr>
          <w:p w14:paraId="3754C5F9" w14:textId="77777777" w:rsidR="006C0365" w:rsidRPr="006C0365" w:rsidRDefault="006C0365" w:rsidP="006C0365">
            <w:pPr>
              <w:jc w:val="left"/>
              <w:rPr>
                <w:color w:val="000000"/>
                <w:sz w:val="18"/>
                <w:szCs w:val="18"/>
                <w:lang w:val="nl-BE" w:eastAsia="nl-BE"/>
              </w:rPr>
            </w:pPr>
            <w:r w:rsidRPr="006C0365">
              <w:rPr>
                <w:color w:val="000000"/>
                <w:sz w:val="18"/>
                <w:szCs w:val="18"/>
                <w:lang w:val="nl-BE" w:eastAsia="nl-BE"/>
              </w:rPr>
              <w:t>2020</w:t>
            </w:r>
          </w:p>
        </w:tc>
        <w:tc>
          <w:tcPr>
            <w:tcW w:w="1320" w:type="dxa"/>
            <w:noWrap/>
            <w:vAlign w:val="bottom"/>
            <w:hideMark/>
          </w:tcPr>
          <w:p w14:paraId="2D32B79A" w14:textId="48AAA416" w:rsidR="006C0365" w:rsidRPr="006C0365" w:rsidRDefault="006C0365" w:rsidP="006C0365">
            <w:pPr>
              <w:jc w:val="right"/>
              <w:rPr>
                <w:color w:val="000000"/>
                <w:sz w:val="18"/>
                <w:szCs w:val="18"/>
                <w:lang w:val="nl-BE" w:eastAsia="nl-BE"/>
              </w:rPr>
            </w:pPr>
            <w:r w:rsidRPr="006C0365">
              <w:rPr>
                <w:color w:val="000000"/>
                <w:sz w:val="18"/>
                <w:szCs w:val="18"/>
                <w:lang w:val="nl-BE" w:eastAsia="nl-BE"/>
              </w:rPr>
              <w:t>466.772</w:t>
            </w:r>
          </w:p>
        </w:tc>
      </w:tr>
      <w:tr w:rsidR="006C0365" w:rsidRPr="006C0365" w14:paraId="2DA0769B" w14:textId="77777777" w:rsidTr="006C0365">
        <w:trPr>
          <w:trHeight w:val="288"/>
        </w:trPr>
        <w:tc>
          <w:tcPr>
            <w:tcW w:w="1984" w:type="dxa"/>
            <w:noWrap/>
            <w:vAlign w:val="bottom"/>
            <w:hideMark/>
          </w:tcPr>
          <w:p w14:paraId="40BD9670" w14:textId="77777777" w:rsidR="006C0365" w:rsidRPr="006C0365" w:rsidRDefault="006C0365" w:rsidP="006C0365">
            <w:pPr>
              <w:jc w:val="left"/>
              <w:rPr>
                <w:color w:val="000000"/>
                <w:sz w:val="18"/>
                <w:szCs w:val="18"/>
                <w:lang w:val="nl-BE" w:eastAsia="nl-BE"/>
              </w:rPr>
            </w:pPr>
            <w:r w:rsidRPr="006C0365">
              <w:rPr>
                <w:color w:val="000000"/>
                <w:sz w:val="18"/>
                <w:szCs w:val="18"/>
                <w:lang w:val="nl-BE" w:eastAsia="nl-BE"/>
              </w:rPr>
              <w:t>2021</w:t>
            </w:r>
          </w:p>
        </w:tc>
        <w:tc>
          <w:tcPr>
            <w:tcW w:w="1320" w:type="dxa"/>
            <w:noWrap/>
            <w:vAlign w:val="bottom"/>
            <w:hideMark/>
          </w:tcPr>
          <w:p w14:paraId="36CB3AED" w14:textId="5565AAFF" w:rsidR="006C0365" w:rsidRPr="006C0365" w:rsidRDefault="006C0365" w:rsidP="006C0365">
            <w:pPr>
              <w:jc w:val="right"/>
              <w:rPr>
                <w:color w:val="000000"/>
                <w:sz w:val="18"/>
                <w:szCs w:val="18"/>
                <w:lang w:val="nl-BE" w:eastAsia="nl-BE"/>
              </w:rPr>
            </w:pPr>
            <w:r w:rsidRPr="006C0365">
              <w:rPr>
                <w:color w:val="000000"/>
                <w:sz w:val="18"/>
                <w:szCs w:val="18"/>
                <w:lang w:val="nl-BE" w:eastAsia="nl-BE"/>
              </w:rPr>
              <w:t>267.831</w:t>
            </w:r>
          </w:p>
        </w:tc>
      </w:tr>
      <w:tr w:rsidR="006C0365" w:rsidRPr="006C0365" w14:paraId="7A51ECA5" w14:textId="77777777" w:rsidTr="006C0365">
        <w:trPr>
          <w:trHeight w:val="288"/>
        </w:trPr>
        <w:tc>
          <w:tcPr>
            <w:tcW w:w="1984" w:type="dxa"/>
            <w:noWrap/>
            <w:vAlign w:val="bottom"/>
            <w:hideMark/>
          </w:tcPr>
          <w:p w14:paraId="7FF2F059" w14:textId="77777777" w:rsidR="006C0365" w:rsidRPr="006C0365" w:rsidRDefault="006C0365" w:rsidP="006C0365">
            <w:pPr>
              <w:jc w:val="left"/>
              <w:rPr>
                <w:color w:val="000000"/>
                <w:sz w:val="18"/>
                <w:szCs w:val="18"/>
                <w:lang w:val="nl-BE" w:eastAsia="nl-BE"/>
              </w:rPr>
            </w:pPr>
            <w:r w:rsidRPr="006C0365">
              <w:rPr>
                <w:color w:val="000000"/>
                <w:sz w:val="18"/>
                <w:szCs w:val="18"/>
                <w:lang w:val="nl-BE" w:eastAsia="nl-BE"/>
              </w:rPr>
              <w:t>2022</w:t>
            </w:r>
          </w:p>
        </w:tc>
        <w:tc>
          <w:tcPr>
            <w:tcW w:w="1320" w:type="dxa"/>
            <w:noWrap/>
            <w:vAlign w:val="bottom"/>
            <w:hideMark/>
          </w:tcPr>
          <w:p w14:paraId="3149E138" w14:textId="385DCBA8" w:rsidR="006C0365" w:rsidRPr="006C0365" w:rsidRDefault="006C0365" w:rsidP="006C0365">
            <w:pPr>
              <w:jc w:val="right"/>
              <w:rPr>
                <w:color w:val="000000"/>
                <w:sz w:val="18"/>
                <w:szCs w:val="18"/>
                <w:lang w:val="nl-BE" w:eastAsia="nl-BE"/>
              </w:rPr>
            </w:pPr>
            <w:r w:rsidRPr="006C0365">
              <w:rPr>
                <w:color w:val="000000"/>
                <w:sz w:val="18"/>
                <w:szCs w:val="18"/>
                <w:lang w:val="nl-BE" w:eastAsia="nl-BE"/>
              </w:rPr>
              <w:t>307.961</w:t>
            </w:r>
          </w:p>
        </w:tc>
      </w:tr>
      <w:tr w:rsidR="006C0365" w:rsidRPr="006C0365" w14:paraId="1B2B4FAC" w14:textId="77777777" w:rsidTr="006C0365">
        <w:trPr>
          <w:trHeight w:val="288"/>
        </w:trPr>
        <w:tc>
          <w:tcPr>
            <w:tcW w:w="1984" w:type="dxa"/>
            <w:noWrap/>
            <w:vAlign w:val="bottom"/>
            <w:hideMark/>
          </w:tcPr>
          <w:p w14:paraId="33F064D6" w14:textId="77777777" w:rsidR="006C0365" w:rsidRPr="006C0365" w:rsidRDefault="006C0365" w:rsidP="006C0365">
            <w:pPr>
              <w:jc w:val="left"/>
              <w:rPr>
                <w:color w:val="000000"/>
                <w:sz w:val="18"/>
                <w:szCs w:val="18"/>
                <w:lang w:val="nl-BE" w:eastAsia="nl-BE"/>
              </w:rPr>
            </w:pPr>
            <w:r w:rsidRPr="006C0365">
              <w:rPr>
                <w:color w:val="000000"/>
                <w:sz w:val="18"/>
                <w:szCs w:val="18"/>
                <w:lang w:val="nl-BE" w:eastAsia="nl-BE"/>
              </w:rPr>
              <w:t>2023</w:t>
            </w:r>
          </w:p>
        </w:tc>
        <w:tc>
          <w:tcPr>
            <w:tcW w:w="1320" w:type="dxa"/>
            <w:noWrap/>
            <w:vAlign w:val="bottom"/>
            <w:hideMark/>
          </w:tcPr>
          <w:p w14:paraId="58CF137C" w14:textId="015ACFC4" w:rsidR="006C0365" w:rsidRPr="006C0365" w:rsidRDefault="006C0365" w:rsidP="006C0365">
            <w:pPr>
              <w:jc w:val="right"/>
              <w:rPr>
                <w:color w:val="000000"/>
                <w:sz w:val="18"/>
                <w:szCs w:val="18"/>
                <w:lang w:val="nl-BE" w:eastAsia="nl-BE"/>
              </w:rPr>
            </w:pPr>
            <w:r w:rsidRPr="006C0365">
              <w:rPr>
                <w:color w:val="000000"/>
                <w:sz w:val="18"/>
                <w:szCs w:val="18"/>
                <w:lang w:val="nl-BE" w:eastAsia="nl-BE"/>
              </w:rPr>
              <w:t>384.179</w:t>
            </w:r>
          </w:p>
        </w:tc>
      </w:tr>
      <w:tr w:rsidR="006C0365" w:rsidRPr="006C0365" w14:paraId="5491C134" w14:textId="77777777" w:rsidTr="006C0365">
        <w:trPr>
          <w:trHeight w:val="288"/>
        </w:trPr>
        <w:tc>
          <w:tcPr>
            <w:tcW w:w="1984" w:type="dxa"/>
            <w:noWrap/>
            <w:vAlign w:val="bottom"/>
            <w:hideMark/>
          </w:tcPr>
          <w:p w14:paraId="679C38DF" w14:textId="77777777" w:rsidR="006C0365" w:rsidRPr="006C0365" w:rsidRDefault="006C0365" w:rsidP="006C0365">
            <w:pPr>
              <w:jc w:val="left"/>
              <w:rPr>
                <w:color w:val="000000"/>
                <w:sz w:val="18"/>
                <w:szCs w:val="18"/>
                <w:lang w:val="nl-BE" w:eastAsia="nl-BE"/>
              </w:rPr>
            </w:pPr>
            <w:r w:rsidRPr="006C0365">
              <w:rPr>
                <w:color w:val="000000"/>
                <w:sz w:val="18"/>
                <w:szCs w:val="18"/>
                <w:lang w:val="nl-BE" w:eastAsia="nl-BE"/>
              </w:rPr>
              <w:t>2024</w:t>
            </w:r>
          </w:p>
        </w:tc>
        <w:tc>
          <w:tcPr>
            <w:tcW w:w="1320" w:type="dxa"/>
            <w:noWrap/>
            <w:vAlign w:val="bottom"/>
            <w:hideMark/>
          </w:tcPr>
          <w:p w14:paraId="02821CA6" w14:textId="13E13C9E" w:rsidR="006C0365" w:rsidRPr="006C0365" w:rsidRDefault="006C0365" w:rsidP="006C0365">
            <w:pPr>
              <w:jc w:val="right"/>
              <w:rPr>
                <w:color w:val="000000"/>
                <w:sz w:val="18"/>
                <w:szCs w:val="18"/>
                <w:lang w:val="nl-BE" w:eastAsia="nl-BE"/>
              </w:rPr>
            </w:pPr>
            <w:r w:rsidRPr="006C0365">
              <w:rPr>
                <w:color w:val="000000"/>
                <w:sz w:val="18"/>
                <w:szCs w:val="18"/>
                <w:lang w:val="nl-BE" w:eastAsia="nl-BE"/>
              </w:rPr>
              <w:t>370.770</w:t>
            </w:r>
          </w:p>
        </w:tc>
      </w:tr>
      <w:tr w:rsidR="006C0365" w:rsidRPr="006C0365" w14:paraId="1572F087" w14:textId="77777777" w:rsidTr="006C0365">
        <w:trPr>
          <w:trHeight w:val="288"/>
        </w:trPr>
        <w:tc>
          <w:tcPr>
            <w:tcW w:w="1984" w:type="dxa"/>
            <w:noWrap/>
            <w:vAlign w:val="bottom"/>
            <w:hideMark/>
          </w:tcPr>
          <w:p w14:paraId="76ADCADF" w14:textId="77777777" w:rsidR="006C0365" w:rsidRPr="006C0365" w:rsidRDefault="006C0365" w:rsidP="006C0365">
            <w:pPr>
              <w:jc w:val="left"/>
              <w:rPr>
                <w:color w:val="000000"/>
                <w:sz w:val="18"/>
                <w:szCs w:val="18"/>
                <w:lang w:val="nl-BE" w:eastAsia="nl-BE"/>
              </w:rPr>
            </w:pPr>
            <w:r w:rsidRPr="006C0365">
              <w:rPr>
                <w:color w:val="000000"/>
                <w:sz w:val="18"/>
                <w:szCs w:val="18"/>
                <w:lang w:val="nl-BE" w:eastAsia="nl-BE"/>
              </w:rPr>
              <w:t>2025</w:t>
            </w:r>
          </w:p>
        </w:tc>
        <w:tc>
          <w:tcPr>
            <w:tcW w:w="1320" w:type="dxa"/>
            <w:noWrap/>
            <w:vAlign w:val="bottom"/>
            <w:hideMark/>
          </w:tcPr>
          <w:p w14:paraId="28DF314C" w14:textId="42DF2588" w:rsidR="006C0365" w:rsidRPr="006C0365" w:rsidRDefault="006C0365" w:rsidP="006C0365">
            <w:pPr>
              <w:jc w:val="right"/>
              <w:rPr>
                <w:color w:val="000000"/>
                <w:sz w:val="18"/>
                <w:szCs w:val="18"/>
                <w:lang w:val="nl-BE" w:eastAsia="nl-BE"/>
              </w:rPr>
            </w:pPr>
            <w:r w:rsidRPr="006C0365">
              <w:rPr>
                <w:color w:val="000000"/>
                <w:sz w:val="18"/>
                <w:szCs w:val="18"/>
                <w:lang w:val="nl-BE" w:eastAsia="nl-BE"/>
              </w:rPr>
              <w:t>254.235</w:t>
            </w:r>
          </w:p>
        </w:tc>
      </w:tr>
    </w:tbl>
    <w:p w14:paraId="4148317F" w14:textId="77777777" w:rsidR="00816834" w:rsidRDefault="00816834" w:rsidP="004F412B"/>
    <w:p w14:paraId="51401C88" w14:textId="2749DF3A" w:rsidR="00DD2D3B" w:rsidRDefault="00D70424" w:rsidP="00DD2D3B">
      <w:pPr>
        <w:numPr>
          <w:ilvl w:val="0"/>
          <w:numId w:val="19"/>
        </w:numPr>
        <w:ind w:left="284" w:hanging="284"/>
      </w:pPr>
      <w:r>
        <w:lastRenderedPageBreak/>
        <w:t xml:space="preserve">De Vlaamse verkeersbelasting is in de eerste plaats een </w:t>
      </w:r>
      <w:proofErr w:type="spellStart"/>
      <w:r>
        <w:t>voertuiggebonden</w:t>
      </w:r>
      <w:proofErr w:type="spellEnd"/>
      <w:r>
        <w:t xml:space="preserve"> belasting. </w:t>
      </w:r>
      <w:r w:rsidR="00285CB0" w:rsidRPr="00321188">
        <w:t>Het</w:t>
      </w:r>
      <w:r w:rsidR="00DD2D3B">
        <w:t xml:space="preserve"> </w:t>
      </w:r>
      <w:r w:rsidR="00693E94">
        <w:t xml:space="preserve">bedrag van de </w:t>
      </w:r>
      <w:r w:rsidR="00DD2D3B">
        <w:t>verkeersbelasting</w:t>
      </w:r>
      <w:r w:rsidR="00693E94">
        <w:t>en is afhankelijk van het type voertuig en</w:t>
      </w:r>
      <w:r w:rsidR="00DD2D3B">
        <w:t xml:space="preserve"> wordt </w:t>
      </w:r>
      <w:r w:rsidR="00FD2F4E">
        <w:t xml:space="preserve">in het huidige systeem </w:t>
      </w:r>
      <w:r w:rsidR="00DD2D3B">
        <w:t xml:space="preserve">berekend </w:t>
      </w:r>
      <w:r w:rsidR="00DD2D3B" w:rsidRPr="00DD2D3B">
        <w:t xml:space="preserve">op basis van </w:t>
      </w:r>
      <w:r>
        <w:t xml:space="preserve">objectieve kenmerken zoals </w:t>
      </w:r>
      <w:r w:rsidR="00DD2D3B" w:rsidRPr="00DD2D3B">
        <w:t>de</w:t>
      </w:r>
      <w:r w:rsidR="00DD2D3B">
        <w:t xml:space="preserve"> </w:t>
      </w:r>
      <w:r w:rsidR="00DD2D3B" w:rsidRPr="00DD2D3B">
        <w:t>fiscale pk, de</w:t>
      </w:r>
      <w:r w:rsidR="00DD2D3B">
        <w:t xml:space="preserve"> </w:t>
      </w:r>
      <w:r w:rsidR="00DD2D3B" w:rsidRPr="00DD2D3B">
        <w:t>CO2-uitstoot,</w:t>
      </w:r>
      <w:r w:rsidR="00DD2D3B">
        <w:t xml:space="preserve"> </w:t>
      </w:r>
      <w:r w:rsidR="00DD2D3B" w:rsidRPr="00DD2D3B">
        <w:t>euronorm</w:t>
      </w:r>
      <w:r w:rsidR="00DD2D3B">
        <w:t xml:space="preserve"> </w:t>
      </w:r>
      <w:r w:rsidR="00DD2D3B" w:rsidRPr="00DD2D3B">
        <w:t>en</w:t>
      </w:r>
      <w:r w:rsidR="00DD2D3B">
        <w:t xml:space="preserve"> </w:t>
      </w:r>
      <w:r w:rsidR="00DD2D3B" w:rsidRPr="00DD2D3B">
        <w:t>brandstofsoort</w:t>
      </w:r>
      <w:r w:rsidR="00DD2D3B">
        <w:t xml:space="preserve"> </w:t>
      </w:r>
      <w:r w:rsidR="00DD2D3B" w:rsidRPr="00DD2D3B">
        <w:t xml:space="preserve">van </w:t>
      </w:r>
      <w:r w:rsidR="00DD2D3B">
        <w:t xml:space="preserve">het </w:t>
      </w:r>
      <w:r w:rsidR="00DD2D3B" w:rsidRPr="00DD2D3B">
        <w:t>voertuig.</w:t>
      </w:r>
      <w:r w:rsidR="00693E94">
        <w:t xml:space="preserve"> Voor de BIV geldt ook een </w:t>
      </w:r>
      <w:r w:rsidR="00693E94" w:rsidRPr="00693E94">
        <w:t>leeftijdscorrectie voor tweedehandsvoertuigen</w:t>
      </w:r>
      <w:r w:rsidR="00693E94">
        <w:t xml:space="preserve">. </w:t>
      </w:r>
      <w:r w:rsidR="00C06D56">
        <w:tab/>
      </w:r>
      <w:r>
        <w:br/>
      </w:r>
      <w:r>
        <w:br/>
        <w:t xml:space="preserve">De betaalbaarheid wordt bewaakt. De belasting is immers voorspelbaar. </w:t>
      </w:r>
      <w:r w:rsidR="00693E94">
        <w:t xml:space="preserve">Het </w:t>
      </w:r>
      <w:r w:rsidR="00C55FEA">
        <w:t xml:space="preserve">te betalen </w:t>
      </w:r>
      <w:r w:rsidR="00693E94">
        <w:t xml:space="preserve">bedrag kan </w:t>
      </w:r>
      <w:r w:rsidR="00C55FEA">
        <w:t>gesimuleerd worden op de website van VLABEL.</w:t>
      </w:r>
    </w:p>
    <w:p w14:paraId="62B64643" w14:textId="77777777" w:rsidR="00693E94" w:rsidRDefault="00693E94" w:rsidP="00DD2D3B">
      <w:pPr>
        <w:ind w:left="284"/>
      </w:pPr>
    </w:p>
    <w:p w14:paraId="1DC4BCEF" w14:textId="63116015" w:rsidR="00DD2D3B" w:rsidRDefault="00D70424" w:rsidP="00DD2D3B">
      <w:pPr>
        <w:ind w:left="284"/>
      </w:pPr>
      <w:r>
        <w:t>Bovendien, n</w:t>
      </w:r>
      <w:r w:rsidR="00693E94">
        <w:t>et als voor andere</w:t>
      </w:r>
      <w:r w:rsidR="00DD2D3B" w:rsidRPr="00DD2D3B">
        <w:t xml:space="preserve"> Vlaamse gewestbelastingen</w:t>
      </w:r>
      <w:r>
        <w:t>,</w:t>
      </w:r>
      <w:r w:rsidR="00DD2D3B" w:rsidRPr="00DD2D3B">
        <w:t xml:space="preserve"> wordt een betaaltermijn gehanteerd van 2 maanden vanaf de verzending van het aanslagbiljet</w:t>
      </w:r>
      <w:r w:rsidR="00693E94">
        <w:t xml:space="preserve"> en zij</w:t>
      </w:r>
      <w:r w:rsidR="00DD2D3B" w:rsidRPr="00DD2D3B">
        <w:t>n nalatigheidsinteresten pas verschuldigd vanaf de 1ste dag van de maand die volgt op de uiterste betaaldatum</w:t>
      </w:r>
      <w:r w:rsidR="00693E94">
        <w:t xml:space="preserve"> en als hij meer dan </w:t>
      </w:r>
      <w:r w:rsidR="00FD2F4E">
        <w:t xml:space="preserve">5 </w:t>
      </w:r>
      <w:r w:rsidR="00693E94">
        <w:t>euro per maand bedraagt</w:t>
      </w:r>
      <w:r w:rsidR="00DD2D3B" w:rsidRPr="00DD2D3B">
        <w:t>.</w:t>
      </w:r>
      <w:r w:rsidR="00693E94">
        <w:t xml:space="preserve"> </w:t>
      </w:r>
      <w:r>
        <w:t xml:space="preserve">Tot slot </w:t>
      </w:r>
      <w:r w:rsidR="00693E94">
        <w:t>kan indien gewenst een afbetalingsplan worden aangevraagd, dat soepel wordt toegekend.</w:t>
      </w:r>
      <w:r w:rsidR="00693E94">
        <w:rPr>
          <w:rStyle w:val="Voetnootmarkering"/>
        </w:rPr>
        <w:footnoteReference w:id="2"/>
      </w:r>
      <w:r w:rsidR="00693E94">
        <w:t xml:space="preserve"> </w:t>
      </w:r>
    </w:p>
    <w:p w14:paraId="67493029" w14:textId="2C9FFD5B" w:rsidR="00693E94" w:rsidRDefault="00D70424" w:rsidP="00DD2D3B">
      <w:pPr>
        <w:ind w:left="284"/>
      </w:pPr>
      <w:r>
        <w:br/>
        <w:t>De cijfers tonen aan dat deze aanpak werkt: m</w:t>
      </w:r>
      <w:r w:rsidR="00693E94">
        <w:t xml:space="preserve">eer dan 98% van de aanslagbiljetten wordt dan ook </w:t>
      </w:r>
      <w:r w:rsidR="00321188">
        <w:t xml:space="preserve">tijdig of na verzending van een herinnering </w:t>
      </w:r>
      <w:r w:rsidR="00693E94">
        <w:t xml:space="preserve">betaald. </w:t>
      </w:r>
    </w:p>
    <w:sectPr w:rsidR="00693E94" w:rsidSect="00C06D56">
      <w:headerReference w:type="even" r:id="rId11"/>
      <w:footerReference w:type="even" r:id="rId12"/>
      <w:footerReference w:type="default" r:id="rId13"/>
      <w:type w:val="continuous"/>
      <w:pgSz w:w="11906" w:h="16838" w:code="9"/>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CE83B" w14:textId="77777777" w:rsidR="007F0C3E" w:rsidRDefault="007F0C3E">
      <w:r>
        <w:separator/>
      </w:r>
    </w:p>
  </w:endnote>
  <w:endnote w:type="continuationSeparator" w:id="0">
    <w:p w14:paraId="25D81E1D" w14:textId="77777777" w:rsidR="007F0C3E" w:rsidRDefault="007F0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Vet">
    <w:panose1 w:val="00000000000000000000"/>
    <w:charset w:val="00"/>
    <w:family w:val="roman"/>
    <w:notTrueType/>
    <w:pitch w:val="default"/>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06E49" w14:textId="77777777" w:rsidR="00D75FB1" w:rsidRDefault="00C84E9E" w:rsidP="001A6DC6">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7523BB">
      <w:rPr>
        <w:rStyle w:val="Paginanummer"/>
        <w:noProof/>
      </w:rPr>
      <w:t>1</w:t>
    </w:r>
    <w:r>
      <w:rPr>
        <w:rStyle w:val="Paginanummer"/>
      </w:rPr>
      <w:fldChar w:fldCharType="end"/>
    </w:r>
  </w:p>
  <w:p w14:paraId="34C3B066" w14:textId="77777777" w:rsidR="00D75FB1" w:rsidRDefault="00D75FB1" w:rsidP="00D75FB1">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86665" w14:textId="77777777" w:rsidR="00D75FB1" w:rsidRDefault="00D75FB1" w:rsidP="001A6DC6">
    <w:pPr>
      <w:pStyle w:val="Voettekst"/>
      <w:framePr w:wrap="around" w:vAnchor="text" w:hAnchor="margin" w:xAlign="right" w:y="1"/>
      <w:rPr>
        <w:rStyle w:val="Paginanummer"/>
      </w:rPr>
    </w:pPr>
  </w:p>
  <w:p w14:paraId="699D2235" w14:textId="77777777" w:rsidR="00D75FB1" w:rsidRDefault="00D75FB1" w:rsidP="00D75FB1">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B0E09" w14:textId="77777777" w:rsidR="007F0C3E" w:rsidRDefault="007F0C3E">
      <w:r>
        <w:separator/>
      </w:r>
    </w:p>
  </w:footnote>
  <w:footnote w:type="continuationSeparator" w:id="0">
    <w:p w14:paraId="1CB71F26" w14:textId="77777777" w:rsidR="007F0C3E" w:rsidRDefault="007F0C3E">
      <w:r>
        <w:continuationSeparator/>
      </w:r>
    </w:p>
  </w:footnote>
  <w:footnote w:id="1">
    <w:p w14:paraId="78C8B27E" w14:textId="05FE0BB4" w:rsidR="009A13C5" w:rsidRPr="00B43AC3" w:rsidRDefault="009A13C5" w:rsidP="009A13C5">
      <w:pPr>
        <w:pStyle w:val="Voetnoottekst"/>
        <w:rPr>
          <w:lang w:val="nl-BE"/>
        </w:rPr>
      </w:pPr>
      <w:r>
        <w:rPr>
          <w:rStyle w:val="Voetnootmarkering"/>
        </w:rPr>
        <w:footnoteRef/>
      </w:r>
      <w:r>
        <w:t xml:space="preserve"> </w:t>
      </w:r>
      <w:r w:rsidRPr="00B43AC3">
        <w:rPr>
          <w:sz w:val="18"/>
          <w:szCs w:val="18"/>
        </w:rPr>
        <w:t>Sinds juli 2022 verzendt VLABEL de aanslagbiljetten voor verkeersbelastingen digitaal via eBox indien de belastingplichtige de toestemming gaf om informatie via eBox te ontvangen. Het hogere aantal herinneringsbrieven vanaf 2022 maakt dan ook deel uit van een leerproces. Veel burgers activeerden tijdens de coronacrisis hun eBox in de hoop hun vaccinatiebrief eerder te krijgen, maar waren er zich niet van bewust dat ze dan alle overheidsdocumenten via dat kanaal zouden krijgen.</w:t>
      </w:r>
      <w:r w:rsidRPr="00B43AC3">
        <w:rPr>
          <w:sz w:val="18"/>
          <w:szCs w:val="18"/>
          <w:lang w:val="nl-BE"/>
        </w:rPr>
        <w:t xml:space="preserve"> Om problemen met het gebruik van eBox uit te sluiten worden herinneringsbrieven op papier verzonden.</w:t>
      </w:r>
    </w:p>
  </w:footnote>
  <w:footnote w:id="2">
    <w:p w14:paraId="47364C67" w14:textId="72F91AFE" w:rsidR="00693E94" w:rsidRPr="00693E94" w:rsidRDefault="00693E94">
      <w:pPr>
        <w:pStyle w:val="Voetnoottekst"/>
        <w:rPr>
          <w:lang w:val="nl-BE"/>
        </w:rPr>
      </w:pPr>
      <w:r>
        <w:rPr>
          <w:rStyle w:val="Voetnootmarkering"/>
        </w:rPr>
        <w:footnoteRef/>
      </w:r>
      <w:r>
        <w:t xml:space="preserve"> </w:t>
      </w:r>
      <w:hyperlink r:id="rId1" w:history="1">
        <w:r w:rsidRPr="00693E94">
          <w:rPr>
            <w:rStyle w:val="Hyperlink"/>
          </w:rPr>
          <w:t>Afbetalingsplan voor Vlaamse belastingen | Vlaanderen.be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B5C07" w14:textId="77777777" w:rsidR="0088108E" w:rsidRDefault="00C84E9E" w:rsidP="0061634D">
    <w:pPr>
      <w:pStyle w:val="Kop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rPr>
      <w:fldChar w:fldCharType="end"/>
    </w:r>
  </w:p>
  <w:p w14:paraId="7B1649D6" w14:textId="77777777" w:rsidR="0088108E" w:rsidRDefault="0088108E" w:rsidP="0088108E">
    <w:pPr>
      <w:pStyle w:val="Koptekst"/>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66634"/>
    <w:multiLevelType w:val="hybridMultilevel"/>
    <w:tmpl w:val="5344CD7A"/>
    <w:lvl w:ilvl="0" w:tplc="95DA5516">
      <w:start w:val="1"/>
      <w:numFmt w:val="decimal"/>
      <w:lvlText w:val="%1."/>
      <w:lvlJc w:val="left"/>
      <w:pPr>
        <w:tabs>
          <w:tab w:val="num" w:pos="360"/>
        </w:tabs>
        <w:ind w:left="360" w:hanging="360"/>
      </w:pPr>
    </w:lvl>
    <w:lvl w:ilvl="1" w:tplc="9AFAEA5A" w:tentative="1">
      <w:start w:val="1"/>
      <w:numFmt w:val="lowerLetter"/>
      <w:lvlText w:val="%2."/>
      <w:lvlJc w:val="left"/>
      <w:pPr>
        <w:tabs>
          <w:tab w:val="num" w:pos="1080"/>
        </w:tabs>
        <w:ind w:left="1080" w:hanging="360"/>
      </w:pPr>
    </w:lvl>
    <w:lvl w:ilvl="2" w:tplc="279A8BB6" w:tentative="1">
      <w:start w:val="1"/>
      <w:numFmt w:val="lowerRoman"/>
      <w:lvlText w:val="%3."/>
      <w:lvlJc w:val="right"/>
      <w:pPr>
        <w:tabs>
          <w:tab w:val="num" w:pos="1800"/>
        </w:tabs>
        <w:ind w:left="1800" w:hanging="180"/>
      </w:pPr>
    </w:lvl>
    <w:lvl w:ilvl="3" w:tplc="4628BAC4" w:tentative="1">
      <w:start w:val="1"/>
      <w:numFmt w:val="decimal"/>
      <w:lvlText w:val="%4."/>
      <w:lvlJc w:val="left"/>
      <w:pPr>
        <w:tabs>
          <w:tab w:val="num" w:pos="2520"/>
        </w:tabs>
        <w:ind w:left="2520" w:hanging="360"/>
      </w:pPr>
    </w:lvl>
    <w:lvl w:ilvl="4" w:tplc="966051A4" w:tentative="1">
      <w:start w:val="1"/>
      <w:numFmt w:val="lowerLetter"/>
      <w:lvlText w:val="%5."/>
      <w:lvlJc w:val="left"/>
      <w:pPr>
        <w:tabs>
          <w:tab w:val="num" w:pos="3240"/>
        </w:tabs>
        <w:ind w:left="3240" w:hanging="360"/>
      </w:pPr>
    </w:lvl>
    <w:lvl w:ilvl="5" w:tplc="6BD2D3DA" w:tentative="1">
      <w:start w:val="1"/>
      <w:numFmt w:val="lowerRoman"/>
      <w:lvlText w:val="%6."/>
      <w:lvlJc w:val="right"/>
      <w:pPr>
        <w:tabs>
          <w:tab w:val="num" w:pos="3960"/>
        </w:tabs>
        <w:ind w:left="3960" w:hanging="180"/>
      </w:pPr>
    </w:lvl>
    <w:lvl w:ilvl="6" w:tplc="F63269A2" w:tentative="1">
      <w:start w:val="1"/>
      <w:numFmt w:val="decimal"/>
      <w:lvlText w:val="%7."/>
      <w:lvlJc w:val="left"/>
      <w:pPr>
        <w:tabs>
          <w:tab w:val="num" w:pos="4680"/>
        </w:tabs>
        <w:ind w:left="4680" w:hanging="360"/>
      </w:pPr>
    </w:lvl>
    <w:lvl w:ilvl="7" w:tplc="C430117A" w:tentative="1">
      <w:start w:val="1"/>
      <w:numFmt w:val="lowerLetter"/>
      <w:lvlText w:val="%8."/>
      <w:lvlJc w:val="left"/>
      <w:pPr>
        <w:tabs>
          <w:tab w:val="num" w:pos="5400"/>
        </w:tabs>
        <w:ind w:left="5400" w:hanging="360"/>
      </w:pPr>
    </w:lvl>
    <w:lvl w:ilvl="8" w:tplc="DD26A382" w:tentative="1">
      <w:start w:val="1"/>
      <w:numFmt w:val="lowerRoman"/>
      <w:lvlText w:val="%9."/>
      <w:lvlJc w:val="right"/>
      <w:pPr>
        <w:tabs>
          <w:tab w:val="num" w:pos="6120"/>
        </w:tabs>
        <w:ind w:left="6120" w:hanging="180"/>
      </w:pPr>
    </w:lvl>
  </w:abstractNum>
  <w:abstractNum w:abstractNumId="1" w15:restartNumberingAfterBreak="0">
    <w:nsid w:val="06812427"/>
    <w:multiLevelType w:val="multilevel"/>
    <w:tmpl w:val="A3E068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A935F85"/>
    <w:multiLevelType w:val="multilevel"/>
    <w:tmpl w:val="393AF5B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FE7E5C"/>
    <w:multiLevelType w:val="hybridMultilevel"/>
    <w:tmpl w:val="F4FAB87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452059F"/>
    <w:multiLevelType w:val="hybridMultilevel"/>
    <w:tmpl w:val="51E0797C"/>
    <w:lvl w:ilvl="0" w:tplc="DBCE2296">
      <w:start w:val="11"/>
      <w:numFmt w:val="bullet"/>
      <w:lvlText w:val="-"/>
      <w:lvlJc w:val="left"/>
      <w:pPr>
        <w:ind w:left="644" w:hanging="360"/>
      </w:pPr>
      <w:rPr>
        <w:rFonts w:ascii="Verdana" w:eastAsia="Times New Roman" w:hAnsi="Verdana" w:cs="Times New Roman" w:hint="default"/>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5" w15:restartNumberingAfterBreak="0">
    <w:nsid w:val="30323682"/>
    <w:multiLevelType w:val="multilevel"/>
    <w:tmpl w:val="A76C8642"/>
    <w:lvl w:ilvl="0">
      <w:start w:val="1"/>
      <w:numFmt w:val="decimal"/>
      <w:pStyle w:val="Nummering"/>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1A53952"/>
    <w:multiLevelType w:val="hybridMultilevel"/>
    <w:tmpl w:val="846A51DA"/>
    <w:lvl w:ilvl="0" w:tplc="0E80C3B4">
      <w:start w:val="4"/>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341C48BF"/>
    <w:multiLevelType w:val="hybridMultilevel"/>
    <w:tmpl w:val="021C5C00"/>
    <w:lvl w:ilvl="0" w:tplc="335E2ED0">
      <w:start w:val="1"/>
      <w:numFmt w:val="bullet"/>
      <w:pStyle w:val="Lijstalinea1"/>
      <w:lvlText w:val=""/>
      <w:lvlJc w:val="left"/>
      <w:pPr>
        <w:tabs>
          <w:tab w:val="num" w:pos="-360"/>
        </w:tabs>
        <w:ind w:left="360" w:hanging="360"/>
      </w:pPr>
      <w:rPr>
        <w:rFonts w:ascii="Symbol" w:hAnsi="Symbol" w:hint="default"/>
        <w:color w:val="808080"/>
      </w:rPr>
    </w:lvl>
    <w:lvl w:ilvl="1" w:tplc="51FEEDB8" w:tentative="1">
      <w:start w:val="1"/>
      <w:numFmt w:val="bullet"/>
      <w:lvlText w:val="o"/>
      <w:lvlJc w:val="left"/>
      <w:pPr>
        <w:ind w:left="1080" w:hanging="360"/>
      </w:pPr>
      <w:rPr>
        <w:rFonts w:ascii="Courier New" w:hAnsi="Courier New" w:cs="Courier New" w:hint="default"/>
      </w:rPr>
    </w:lvl>
    <w:lvl w:ilvl="2" w:tplc="4352022E" w:tentative="1">
      <w:start w:val="1"/>
      <w:numFmt w:val="bullet"/>
      <w:lvlText w:val=""/>
      <w:lvlJc w:val="left"/>
      <w:pPr>
        <w:ind w:left="1800" w:hanging="360"/>
      </w:pPr>
      <w:rPr>
        <w:rFonts w:ascii="Wingdings" w:hAnsi="Wingdings" w:hint="default"/>
      </w:rPr>
    </w:lvl>
    <w:lvl w:ilvl="3" w:tplc="14C420F6" w:tentative="1">
      <w:start w:val="1"/>
      <w:numFmt w:val="bullet"/>
      <w:lvlText w:val=""/>
      <w:lvlJc w:val="left"/>
      <w:pPr>
        <w:ind w:left="2520" w:hanging="360"/>
      </w:pPr>
      <w:rPr>
        <w:rFonts w:ascii="Symbol" w:hAnsi="Symbol" w:hint="default"/>
      </w:rPr>
    </w:lvl>
    <w:lvl w:ilvl="4" w:tplc="0A06C860" w:tentative="1">
      <w:start w:val="1"/>
      <w:numFmt w:val="bullet"/>
      <w:lvlText w:val="o"/>
      <w:lvlJc w:val="left"/>
      <w:pPr>
        <w:ind w:left="3240" w:hanging="360"/>
      </w:pPr>
      <w:rPr>
        <w:rFonts w:ascii="Courier New" w:hAnsi="Courier New" w:cs="Courier New" w:hint="default"/>
      </w:rPr>
    </w:lvl>
    <w:lvl w:ilvl="5" w:tplc="A27C17E8" w:tentative="1">
      <w:start w:val="1"/>
      <w:numFmt w:val="bullet"/>
      <w:lvlText w:val=""/>
      <w:lvlJc w:val="left"/>
      <w:pPr>
        <w:ind w:left="3960" w:hanging="360"/>
      </w:pPr>
      <w:rPr>
        <w:rFonts w:ascii="Wingdings" w:hAnsi="Wingdings" w:hint="default"/>
      </w:rPr>
    </w:lvl>
    <w:lvl w:ilvl="6" w:tplc="6E04020C" w:tentative="1">
      <w:start w:val="1"/>
      <w:numFmt w:val="bullet"/>
      <w:lvlText w:val=""/>
      <w:lvlJc w:val="left"/>
      <w:pPr>
        <w:ind w:left="4680" w:hanging="360"/>
      </w:pPr>
      <w:rPr>
        <w:rFonts w:ascii="Symbol" w:hAnsi="Symbol" w:hint="default"/>
      </w:rPr>
    </w:lvl>
    <w:lvl w:ilvl="7" w:tplc="CAF004B2" w:tentative="1">
      <w:start w:val="1"/>
      <w:numFmt w:val="bullet"/>
      <w:lvlText w:val="o"/>
      <w:lvlJc w:val="left"/>
      <w:pPr>
        <w:ind w:left="5400" w:hanging="360"/>
      </w:pPr>
      <w:rPr>
        <w:rFonts w:ascii="Courier New" w:hAnsi="Courier New" w:cs="Courier New" w:hint="default"/>
      </w:rPr>
    </w:lvl>
    <w:lvl w:ilvl="8" w:tplc="797872F8" w:tentative="1">
      <w:start w:val="1"/>
      <w:numFmt w:val="bullet"/>
      <w:lvlText w:val=""/>
      <w:lvlJc w:val="left"/>
      <w:pPr>
        <w:ind w:left="6120" w:hanging="360"/>
      </w:pPr>
      <w:rPr>
        <w:rFonts w:ascii="Wingdings" w:hAnsi="Wingdings" w:hint="default"/>
      </w:rPr>
    </w:lvl>
  </w:abstractNum>
  <w:abstractNum w:abstractNumId="8" w15:restartNumberingAfterBreak="0">
    <w:nsid w:val="3A993D43"/>
    <w:multiLevelType w:val="hybridMultilevel"/>
    <w:tmpl w:val="F0DE29BA"/>
    <w:lvl w:ilvl="0" w:tplc="86A01174">
      <w:numFmt w:val="bullet"/>
      <w:lvlText w:val="-"/>
      <w:lvlJc w:val="left"/>
      <w:pPr>
        <w:ind w:left="644" w:hanging="360"/>
      </w:pPr>
      <w:rPr>
        <w:rFonts w:ascii="Verdana" w:eastAsia="Times New Roman" w:hAnsi="Verdana" w:cs="Times New Roman" w:hint="default"/>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9" w15:restartNumberingAfterBreak="0">
    <w:nsid w:val="3E9A52B4"/>
    <w:multiLevelType w:val="hybridMultilevel"/>
    <w:tmpl w:val="2600357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41CB4A21"/>
    <w:multiLevelType w:val="hybridMultilevel"/>
    <w:tmpl w:val="157C9FE2"/>
    <w:lvl w:ilvl="0" w:tplc="3D2C532C">
      <w:start w:val="6"/>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44757FB5"/>
    <w:multiLevelType w:val="multilevel"/>
    <w:tmpl w:val="01CE820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4B17468"/>
    <w:multiLevelType w:val="hybridMultilevel"/>
    <w:tmpl w:val="904C4670"/>
    <w:lvl w:ilvl="0" w:tplc="E3ACBD70">
      <w:start w:val="1"/>
      <w:numFmt w:val="bullet"/>
      <w:lvlText w:val="o"/>
      <w:lvlJc w:val="left"/>
      <w:pPr>
        <w:ind w:left="720" w:hanging="360"/>
      </w:pPr>
      <w:rPr>
        <w:rFonts w:ascii="Courier New" w:hAnsi="Courier New" w:cs="Courier New" w:hint="default"/>
      </w:rPr>
    </w:lvl>
    <w:lvl w:ilvl="1" w:tplc="F282EF98" w:tentative="1">
      <w:start w:val="1"/>
      <w:numFmt w:val="bullet"/>
      <w:lvlText w:val="o"/>
      <w:lvlJc w:val="left"/>
      <w:pPr>
        <w:ind w:left="1440" w:hanging="360"/>
      </w:pPr>
      <w:rPr>
        <w:rFonts w:ascii="Courier New" w:hAnsi="Courier New" w:cs="Courier New" w:hint="default"/>
      </w:rPr>
    </w:lvl>
    <w:lvl w:ilvl="2" w:tplc="5A40CFE8" w:tentative="1">
      <w:start w:val="1"/>
      <w:numFmt w:val="bullet"/>
      <w:lvlText w:val=""/>
      <w:lvlJc w:val="left"/>
      <w:pPr>
        <w:ind w:left="2160" w:hanging="360"/>
      </w:pPr>
      <w:rPr>
        <w:rFonts w:ascii="Wingdings" w:hAnsi="Wingdings" w:hint="default"/>
      </w:rPr>
    </w:lvl>
    <w:lvl w:ilvl="3" w:tplc="953A57E2" w:tentative="1">
      <w:start w:val="1"/>
      <w:numFmt w:val="bullet"/>
      <w:lvlText w:val=""/>
      <w:lvlJc w:val="left"/>
      <w:pPr>
        <w:ind w:left="2880" w:hanging="360"/>
      </w:pPr>
      <w:rPr>
        <w:rFonts w:ascii="Symbol" w:hAnsi="Symbol" w:hint="default"/>
      </w:rPr>
    </w:lvl>
    <w:lvl w:ilvl="4" w:tplc="FD0EC0D6" w:tentative="1">
      <w:start w:val="1"/>
      <w:numFmt w:val="bullet"/>
      <w:lvlText w:val="o"/>
      <w:lvlJc w:val="left"/>
      <w:pPr>
        <w:ind w:left="3600" w:hanging="360"/>
      </w:pPr>
      <w:rPr>
        <w:rFonts w:ascii="Courier New" w:hAnsi="Courier New" w:cs="Courier New" w:hint="default"/>
      </w:rPr>
    </w:lvl>
    <w:lvl w:ilvl="5" w:tplc="4AA049FA" w:tentative="1">
      <w:start w:val="1"/>
      <w:numFmt w:val="bullet"/>
      <w:lvlText w:val=""/>
      <w:lvlJc w:val="left"/>
      <w:pPr>
        <w:ind w:left="4320" w:hanging="360"/>
      </w:pPr>
      <w:rPr>
        <w:rFonts w:ascii="Wingdings" w:hAnsi="Wingdings" w:hint="default"/>
      </w:rPr>
    </w:lvl>
    <w:lvl w:ilvl="6" w:tplc="8286E286" w:tentative="1">
      <w:start w:val="1"/>
      <w:numFmt w:val="bullet"/>
      <w:lvlText w:val=""/>
      <w:lvlJc w:val="left"/>
      <w:pPr>
        <w:ind w:left="5040" w:hanging="360"/>
      </w:pPr>
      <w:rPr>
        <w:rFonts w:ascii="Symbol" w:hAnsi="Symbol" w:hint="default"/>
      </w:rPr>
    </w:lvl>
    <w:lvl w:ilvl="7" w:tplc="E42627AE" w:tentative="1">
      <w:start w:val="1"/>
      <w:numFmt w:val="bullet"/>
      <w:lvlText w:val="o"/>
      <w:lvlJc w:val="left"/>
      <w:pPr>
        <w:ind w:left="5760" w:hanging="360"/>
      </w:pPr>
      <w:rPr>
        <w:rFonts w:ascii="Courier New" w:hAnsi="Courier New" w:cs="Courier New" w:hint="default"/>
      </w:rPr>
    </w:lvl>
    <w:lvl w:ilvl="8" w:tplc="8A5462A4" w:tentative="1">
      <w:start w:val="1"/>
      <w:numFmt w:val="bullet"/>
      <w:lvlText w:val=""/>
      <w:lvlJc w:val="left"/>
      <w:pPr>
        <w:ind w:left="6480" w:hanging="360"/>
      </w:pPr>
      <w:rPr>
        <w:rFonts w:ascii="Wingdings" w:hAnsi="Wingdings" w:hint="default"/>
      </w:rPr>
    </w:lvl>
  </w:abstractNum>
  <w:abstractNum w:abstractNumId="13" w15:restartNumberingAfterBreak="0">
    <w:nsid w:val="48AF25B8"/>
    <w:multiLevelType w:val="hybridMultilevel"/>
    <w:tmpl w:val="A31017F6"/>
    <w:lvl w:ilvl="0" w:tplc="5E2E6298">
      <w:start w:val="1"/>
      <w:numFmt w:val="bullet"/>
      <w:lvlText w:val=""/>
      <w:lvlJc w:val="left"/>
      <w:pPr>
        <w:ind w:left="360" w:hanging="360"/>
      </w:pPr>
      <w:rPr>
        <w:rFonts w:ascii="Symbol" w:hAnsi="Symbol" w:hint="default"/>
      </w:rPr>
    </w:lvl>
    <w:lvl w:ilvl="1" w:tplc="D1286D0A" w:tentative="1">
      <w:start w:val="1"/>
      <w:numFmt w:val="bullet"/>
      <w:lvlText w:val="o"/>
      <w:lvlJc w:val="left"/>
      <w:pPr>
        <w:ind w:left="1080" w:hanging="360"/>
      </w:pPr>
      <w:rPr>
        <w:rFonts w:ascii="Courier New" w:hAnsi="Courier New" w:cs="Courier New" w:hint="default"/>
      </w:rPr>
    </w:lvl>
    <w:lvl w:ilvl="2" w:tplc="B812386C" w:tentative="1">
      <w:start w:val="1"/>
      <w:numFmt w:val="bullet"/>
      <w:lvlText w:val=""/>
      <w:lvlJc w:val="left"/>
      <w:pPr>
        <w:ind w:left="1800" w:hanging="360"/>
      </w:pPr>
      <w:rPr>
        <w:rFonts w:ascii="Wingdings" w:hAnsi="Wingdings" w:hint="default"/>
      </w:rPr>
    </w:lvl>
    <w:lvl w:ilvl="3" w:tplc="0FB0167A" w:tentative="1">
      <w:start w:val="1"/>
      <w:numFmt w:val="bullet"/>
      <w:lvlText w:val=""/>
      <w:lvlJc w:val="left"/>
      <w:pPr>
        <w:ind w:left="2520" w:hanging="360"/>
      </w:pPr>
      <w:rPr>
        <w:rFonts w:ascii="Symbol" w:hAnsi="Symbol" w:hint="default"/>
      </w:rPr>
    </w:lvl>
    <w:lvl w:ilvl="4" w:tplc="83A0097E" w:tentative="1">
      <w:start w:val="1"/>
      <w:numFmt w:val="bullet"/>
      <w:lvlText w:val="o"/>
      <w:lvlJc w:val="left"/>
      <w:pPr>
        <w:ind w:left="3240" w:hanging="360"/>
      </w:pPr>
      <w:rPr>
        <w:rFonts w:ascii="Courier New" w:hAnsi="Courier New" w:cs="Courier New" w:hint="default"/>
      </w:rPr>
    </w:lvl>
    <w:lvl w:ilvl="5" w:tplc="A9EE87B4" w:tentative="1">
      <w:start w:val="1"/>
      <w:numFmt w:val="bullet"/>
      <w:lvlText w:val=""/>
      <w:lvlJc w:val="left"/>
      <w:pPr>
        <w:ind w:left="3960" w:hanging="360"/>
      </w:pPr>
      <w:rPr>
        <w:rFonts w:ascii="Wingdings" w:hAnsi="Wingdings" w:hint="default"/>
      </w:rPr>
    </w:lvl>
    <w:lvl w:ilvl="6" w:tplc="6B10BD90" w:tentative="1">
      <w:start w:val="1"/>
      <w:numFmt w:val="bullet"/>
      <w:lvlText w:val=""/>
      <w:lvlJc w:val="left"/>
      <w:pPr>
        <w:ind w:left="4680" w:hanging="360"/>
      </w:pPr>
      <w:rPr>
        <w:rFonts w:ascii="Symbol" w:hAnsi="Symbol" w:hint="default"/>
      </w:rPr>
    </w:lvl>
    <w:lvl w:ilvl="7" w:tplc="DB0606A6" w:tentative="1">
      <w:start w:val="1"/>
      <w:numFmt w:val="bullet"/>
      <w:lvlText w:val="o"/>
      <w:lvlJc w:val="left"/>
      <w:pPr>
        <w:ind w:left="5400" w:hanging="360"/>
      </w:pPr>
      <w:rPr>
        <w:rFonts w:ascii="Courier New" w:hAnsi="Courier New" w:cs="Courier New" w:hint="default"/>
      </w:rPr>
    </w:lvl>
    <w:lvl w:ilvl="8" w:tplc="8A08BD66" w:tentative="1">
      <w:start w:val="1"/>
      <w:numFmt w:val="bullet"/>
      <w:lvlText w:val=""/>
      <w:lvlJc w:val="left"/>
      <w:pPr>
        <w:ind w:left="6120" w:hanging="360"/>
      </w:pPr>
      <w:rPr>
        <w:rFonts w:ascii="Wingdings" w:hAnsi="Wingdings" w:hint="default"/>
      </w:rPr>
    </w:lvl>
  </w:abstractNum>
  <w:abstractNum w:abstractNumId="14" w15:restartNumberingAfterBreak="0">
    <w:nsid w:val="556D6D67"/>
    <w:multiLevelType w:val="multilevel"/>
    <w:tmpl w:val="A3E068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604A523F"/>
    <w:multiLevelType w:val="hybridMultilevel"/>
    <w:tmpl w:val="DF263B44"/>
    <w:lvl w:ilvl="0" w:tplc="D9C642B4">
      <w:start w:val="1"/>
      <w:numFmt w:val="bullet"/>
      <w:lvlText w:val=""/>
      <w:lvlJc w:val="left"/>
      <w:pPr>
        <w:tabs>
          <w:tab w:val="num" w:pos="0"/>
        </w:tabs>
        <w:ind w:left="720" w:hanging="360"/>
      </w:pPr>
      <w:rPr>
        <w:rFonts w:ascii="Symbol" w:hAnsi="Symbol" w:hint="default"/>
        <w:color w:val="808080"/>
      </w:rPr>
    </w:lvl>
    <w:lvl w:ilvl="1" w:tplc="77BE1AC0" w:tentative="1">
      <w:start w:val="1"/>
      <w:numFmt w:val="bullet"/>
      <w:lvlText w:val="o"/>
      <w:lvlJc w:val="left"/>
      <w:pPr>
        <w:tabs>
          <w:tab w:val="num" w:pos="1440"/>
        </w:tabs>
        <w:ind w:left="1440" w:hanging="360"/>
      </w:pPr>
      <w:rPr>
        <w:rFonts w:ascii="Courier New" w:hAnsi="Courier New" w:cs="Courier New" w:hint="default"/>
      </w:rPr>
    </w:lvl>
    <w:lvl w:ilvl="2" w:tplc="B6B833F4" w:tentative="1">
      <w:start w:val="1"/>
      <w:numFmt w:val="bullet"/>
      <w:lvlText w:val=""/>
      <w:lvlJc w:val="left"/>
      <w:pPr>
        <w:tabs>
          <w:tab w:val="num" w:pos="2160"/>
        </w:tabs>
        <w:ind w:left="2160" w:hanging="360"/>
      </w:pPr>
      <w:rPr>
        <w:rFonts w:ascii="Wingdings" w:hAnsi="Wingdings" w:hint="default"/>
      </w:rPr>
    </w:lvl>
    <w:lvl w:ilvl="3" w:tplc="629EE78A" w:tentative="1">
      <w:start w:val="1"/>
      <w:numFmt w:val="bullet"/>
      <w:lvlText w:val=""/>
      <w:lvlJc w:val="left"/>
      <w:pPr>
        <w:tabs>
          <w:tab w:val="num" w:pos="2880"/>
        </w:tabs>
        <w:ind w:left="2880" w:hanging="360"/>
      </w:pPr>
      <w:rPr>
        <w:rFonts w:ascii="Symbol" w:hAnsi="Symbol" w:hint="default"/>
      </w:rPr>
    </w:lvl>
    <w:lvl w:ilvl="4" w:tplc="5E88E9FC" w:tentative="1">
      <w:start w:val="1"/>
      <w:numFmt w:val="bullet"/>
      <w:lvlText w:val="o"/>
      <w:lvlJc w:val="left"/>
      <w:pPr>
        <w:tabs>
          <w:tab w:val="num" w:pos="3600"/>
        </w:tabs>
        <w:ind w:left="3600" w:hanging="360"/>
      </w:pPr>
      <w:rPr>
        <w:rFonts w:ascii="Courier New" w:hAnsi="Courier New" w:cs="Courier New" w:hint="default"/>
      </w:rPr>
    </w:lvl>
    <w:lvl w:ilvl="5" w:tplc="1DBABE56" w:tentative="1">
      <w:start w:val="1"/>
      <w:numFmt w:val="bullet"/>
      <w:lvlText w:val=""/>
      <w:lvlJc w:val="left"/>
      <w:pPr>
        <w:tabs>
          <w:tab w:val="num" w:pos="4320"/>
        </w:tabs>
        <w:ind w:left="4320" w:hanging="360"/>
      </w:pPr>
      <w:rPr>
        <w:rFonts w:ascii="Wingdings" w:hAnsi="Wingdings" w:hint="default"/>
      </w:rPr>
    </w:lvl>
    <w:lvl w:ilvl="6" w:tplc="7E24892C" w:tentative="1">
      <w:start w:val="1"/>
      <w:numFmt w:val="bullet"/>
      <w:lvlText w:val=""/>
      <w:lvlJc w:val="left"/>
      <w:pPr>
        <w:tabs>
          <w:tab w:val="num" w:pos="5040"/>
        </w:tabs>
        <w:ind w:left="5040" w:hanging="360"/>
      </w:pPr>
      <w:rPr>
        <w:rFonts w:ascii="Symbol" w:hAnsi="Symbol" w:hint="default"/>
      </w:rPr>
    </w:lvl>
    <w:lvl w:ilvl="7" w:tplc="C1F45218" w:tentative="1">
      <w:start w:val="1"/>
      <w:numFmt w:val="bullet"/>
      <w:lvlText w:val="o"/>
      <w:lvlJc w:val="left"/>
      <w:pPr>
        <w:tabs>
          <w:tab w:val="num" w:pos="5760"/>
        </w:tabs>
        <w:ind w:left="5760" w:hanging="360"/>
      </w:pPr>
      <w:rPr>
        <w:rFonts w:ascii="Courier New" w:hAnsi="Courier New" w:cs="Courier New" w:hint="default"/>
      </w:rPr>
    </w:lvl>
    <w:lvl w:ilvl="8" w:tplc="D314588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E0605E"/>
    <w:multiLevelType w:val="hybridMultilevel"/>
    <w:tmpl w:val="9572DA62"/>
    <w:lvl w:ilvl="0" w:tplc="9FD2B308">
      <w:start w:val="10"/>
      <w:numFmt w:val="decimal"/>
      <w:lvlText w:val="%1."/>
      <w:lvlJc w:val="left"/>
      <w:pPr>
        <w:tabs>
          <w:tab w:val="num" w:pos="360"/>
        </w:tabs>
        <w:ind w:left="36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6E4B07BF"/>
    <w:multiLevelType w:val="singleLevel"/>
    <w:tmpl w:val="6DB2B9A2"/>
    <w:lvl w:ilvl="0">
      <w:start w:val="1"/>
      <w:numFmt w:val="decimal"/>
      <w:lvlText w:val="%1."/>
      <w:lvlJc w:val="left"/>
      <w:pPr>
        <w:tabs>
          <w:tab w:val="num" w:pos="360"/>
        </w:tabs>
        <w:ind w:left="360" w:hanging="360"/>
      </w:pPr>
    </w:lvl>
  </w:abstractNum>
  <w:abstractNum w:abstractNumId="18" w15:restartNumberingAfterBreak="0">
    <w:nsid w:val="780F2E12"/>
    <w:multiLevelType w:val="hybridMultilevel"/>
    <w:tmpl w:val="594C0EF0"/>
    <w:lvl w:ilvl="0" w:tplc="37E2216A">
      <w:numFmt w:val="bullet"/>
      <w:lvlText w:val="-"/>
      <w:lvlJc w:val="left"/>
      <w:pPr>
        <w:ind w:left="720" w:hanging="360"/>
      </w:pPr>
      <w:rPr>
        <w:rFonts w:ascii="Verdana" w:eastAsia="Times New Roman" w:hAnsi="Verdan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329745114">
    <w:abstractNumId w:val="12"/>
  </w:num>
  <w:num w:numId="2" w16cid:durableId="1472164479">
    <w:abstractNumId w:val="7"/>
  </w:num>
  <w:num w:numId="3" w16cid:durableId="372534663">
    <w:abstractNumId w:val="15"/>
  </w:num>
  <w:num w:numId="4" w16cid:durableId="958879243">
    <w:abstractNumId w:val="0"/>
  </w:num>
  <w:num w:numId="5" w16cid:durableId="1230071481">
    <w:abstractNumId w:val="11"/>
  </w:num>
  <w:num w:numId="6" w16cid:durableId="1968512639">
    <w:abstractNumId w:val="14"/>
  </w:num>
  <w:num w:numId="7" w16cid:durableId="1959795224">
    <w:abstractNumId w:val="1"/>
  </w:num>
  <w:num w:numId="8" w16cid:durableId="554778170">
    <w:abstractNumId w:val="2"/>
  </w:num>
  <w:num w:numId="9" w16cid:durableId="258031723">
    <w:abstractNumId w:val="7"/>
  </w:num>
  <w:num w:numId="10" w16cid:durableId="1672567505">
    <w:abstractNumId w:val="7"/>
  </w:num>
  <w:num w:numId="11" w16cid:durableId="1108692938">
    <w:abstractNumId w:val="7"/>
  </w:num>
  <w:num w:numId="12" w16cid:durableId="948391996">
    <w:abstractNumId w:val="7"/>
  </w:num>
  <w:num w:numId="13" w16cid:durableId="1083067991">
    <w:abstractNumId w:val="13"/>
  </w:num>
  <w:num w:numId="14" w16cid:durableId="1476216071">
    <w:abstractNumId w:val="5"/>
  </w:num>
  <w:num w:numId="15" w16cid:durableId="1377313428">
    <w:abstractNumId w:val="3"/>
  </w:num>
  <w:num w:numId="16" w16cid:durableId="1284920913">
    <w:abstractNumId w:val="9"/>
  </w:num>
  <w:num w:numId="17" w16cid:durableId="1274174202">
    <w:abstractNumId w:val="4"/>
  </w:num>
  <w:num w:numId="18" w16cid:durableId="1797136307">
    <w:abstractNumId w:val="17"/>
  </w:num>
  <w:num w:numId="19" w16cid:durableId="471753846">
    <w:abstractNumId w:val="10"/>
  </w:num>
  <w:num w:numId="20" w16cid:durableId="1859391986">
    <w:abstractNumId w:val="18"/>
  </w:num>
  <w:num w:numId="21" w16cid:durableId="892228377">
    <w:abstractNumId w:val="6"/>
  </w:num>
  <w:num w:numId="22" w16cid:durableId="1746295462">
    <w:abstractNumId w:val="16"/>
  </w:num>
  <w:num w:numId="23" w16cid:durableId="15835652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12F"/>
    <w:rsid w:val="00001AD7"/>
    <w:rsid w:val="0000480F"/>
    <w:rsid w:val="00007761"/>
    <w:rsid w:val="00010CFD"/>
    <w:rsid w:val="000168E9"/>
    <w:rsid w:val="00020CFF"/>
    <w:rsid w:val="00042727"/>
    <w:rsid w:val="0009480E"/>
    <w:rsid w:val="000E37E6"/>
    <w:rsid w:val="000F69A5"/>
    <w:rsid w:val="00123B61"/>
    <w:rsid w:val="001432D8"/>
    <w:rsid w:val="00160200"/>
    <w:rsid w:val="001617D9"/>
    <w:rsid w:val="00171C19"/>
    <w:rsid w:val="00191090"/>
    <w:rsid w:val="001A2E50"/>
    <w:rsid w:val="001A6DC6"/>
    <w:rsid w:val="001D4C5D"/>
    <w:rsid w:val="00202352"/>
    <w:rsid w:val="00204C10"/>
    <w:rsid w:val="0022551E"/>
    <w:rsid w:val="002308DD"/>
    <w:rsid w:val="00230A44"/>
    <w:rsid w:val="00236959"/>
    <w:rsid w:val="00282D9B"/>
    <w:rsid w:val="00283AD6"/>
    <w:rsid w:val="00285CB0"/>
    <w:rsid w:val="00290D30"/>
    <w:rsid w:val="002916DC"/>
    <w:rsid w:val="00295A59"/>
    <w:rsid w:val="002A43AD"/>
    <w:rsid w:val="002B2083"/>
    <w:rsid w:val="002B3EE5"/>
    <w:rsid w:val="002B7A2C"/>
    <w:rsid w:val="002C112F"/>
    <w:rsid w:val="002C2BFD"/>
    <w:rsid w:val="002C7F38"/>
    <w:rsid w:val="002D1314"/>
    <w:rsid w:val="002E78A7"/>
    <w:rsid w:val="002F1712"/>
    <w:rsid w:val="00303A1E"/>
    <w:rsid w:val="00315015"/>
    <w:rsid w:val="00316FC3"/>
    <w:rsid w:val="00321188"/>
    <w:rsid w:val="003326BE"/>
    <w:rsid w:val="003368E9"/>
    <w:rsid w:val="00343AC2"/>
    <w:rsid w:val="00352418"/>
    <w:rsid w:val="00367117"/>
    <w:rsid w:val="00375510"/>
    <w:rsid w:val="003C3348"/>
    <w:rsid w:val="003D1C70"/>
    <w:rsid w:val="003D4AC2"/>
    <w:rsid w:val="003E17F5"/>
    <w:rsid w:val="003E53DD"/>
    <w:rsid w:val="003E5DBC"/>
    <w:rsid w:val="003F4BEE"/>
    <w:rsid w:val="004207F6"/>
    <w:rsid w:val="0045023B"/>
    <w:rsid w:val="00451CDB"/>
    <w:rsid w:val="004848C3"/>
    <w:rsid w:val="00486F4D"/>
    <w:rsid w:val="00497EF4"/>
    <w:rsid w:val="004A1874"/>
    <w:rsid w:val="004B55D6"/>
    <w:rsid w:val="004F223D"/>
    <w:rsid w:val="004F412B"/>
    <w:rsid w:val="004F459A"/>
    <w:rsid w:val="0051556C"/>
    <w:rsid w:val="005648AA"/>
    <w:rsid w:val="005678BC"/>
    <w:rsid w:val="005A58AF"/>
    <w:rsid w:val="005B02FA"/>
    <w:rsid w:val="005B3815"/>
    <w:rsid w:val="005D2CB8"/>
    <w:rsid w:val="005F261A"/>
    <w:rsid w:val="006029D7"/>
    <w:rsid w:val="0061634D"/>
    <w:rsid w:val="00652F9B"/>
    <w:rsid w:val="0067663F"/>
    <w:rsid w:val="00684750"/>
    <w:rsid w:val="00693E94"/>
    <w:rsid w:val="00695A6F"/>
    <w:rsid w:val="006A6FBE"/>
    <w:rsid w:val="006B6DF4"/>
    <w:rsid w:val="006C0365"/>
    <w:rsid w:val="006E6552"/>
    <w:rsid w:val="007119FE"/>
    <w:rsid w:val="007136DD"/>
    <w:rsid w:val="00720C06"/>
    <w:rsid w:val="007431CD"/>
    <w:rsid w:val="00747A4D"/>
    <w:rsid w:val="007523BB"/>
    <w:rsid w:val="00757608"/>
    <w:rsid w:val="00767245"/>
    <w:rsid w:val="00775B33"/>
    <w:rsid w:val="00776864"/>
    <w:rsid w:val="00793681"/>
    <w:rsid w:val="007A2846"/>
    <w:rsid w:val="007A7258"/>
    <w:rsid w:val="007B5E9F"/>
    <w:rsid w:val="007D76F6"/>
    <w:rsid w:val="007E31C6"/>
    <w:rsid w:val="007E576E"/>
    <w:rsid w:val="007F0C3E"/>
    <w:rsid w:val="007F3836"/>
    <w:rsid w:val="007F48AA"/>
    <w:rsid w:val="007F558B"/>
    <w:rsid w:val="00800238"/>
    <w:rsid w:val="008076EB"/>
    <w:rsid w:val="00807C1F"/>
    <w:rsid w:val="00816834"/>
    <w:rsid w:val="008410BD"/>
    <w:rsid w:val="00843090"/>
    <w:rsid w:val="00863F1F"/>
    <w:rsid w:val="0087678E"/>
    <w:rsid w:val="0088108E"/>
    <w:rsid w:val="0088219F"/>
    <w:rsid w:val="00882C9E"/>
    <w:rsid w:val="00887347"/>
    <w:rsid w:val="00887CF6"/>
    <w:rsid w:val="008A4109"/>
    <w:rsid w:val="008C0241"/>
    <w:rsid w:val="008C1B72"/>
    <w:rsid w:val="00904E91"/>
    <w:rsid w:val="00922C32"/>
    <w:rsid w:val="0092502E"/>
    <w:rsid w:val="00931A00"/>
    <w:rsid w:val="00932920"/>
    <w:rsid w:val="00956662"/>
    <w:rsid w:val="00976B88"/>
    <w:rsid w:val="00991C3A"/>
    <w:rsid w:val="0099723D"/>
    <w:rsid w:val="009A13C5"/>
    <w:rsid w:val="009A48EC"/>
    <w:rsid w:val="009B025C"/>
    <w:rsid w:val="009B1380"/>
    <w:rsid w:val="009C6F0C"/>
    <w:rsid w:val="009E2146"/>
    <w:rsid w:val="009E2BF5"/>
    <w:rsid w:val="009F6ADF"/>
    <w:rsid w:val="00A14579"/>
    <w:rsid w:val="00A15B2F"/>
    <w:rsid w:val="00A71A9F"/>
    <w:rsid w:val="00A9420F"/>
    <w:rsid w:val="00AD073B"/>
    <w:rsid w:val="00B07352"/>
    <w:rsid w:val="00B341C9"/>
    <w:rsid w:val="00B34821"/>
    <w:rsid w:val="00B41423"/>
    <w:rsid w:val="00B906BC"/>
    <w:rsid w:val="00B964FF"/>
    <w:rsid w:val="00BA1517"/>
    <w:rsid w:val="00BA67FD"/>
    <w:rsid w:val="00BB0C04"/>
    <w:rsid w:val="00C06D56"/>
    <w:rsid w:val="00C10FAA"/>
    <w:rsid w:val="00C12A58"/>
    <w:rsid w:val="00C25C33"/>
    <w:rsid w:val="00C31750"/>
    <w:rsid w:val="00C46409"/>
    <w:rsid w:val="00C515C5"/>
    <w:rsid w:val="00C55FEA"/>
    <w:rsid w:val="00C66C88"/>
    <w:rsid w:val="00C8212B"/>
    <w:rsid w:val="00C84E9E"/>
    <w:rsid w:val="00C87AD7"/>
    <w:rsid w:val="00C92BE2"/>
    <w:rsid w:val="00C96513"/>
    <w:rsid w:val="00CC1FD7"/>
    <w:rsid w:val="00CD2747"/>
    <w:rsid w:val="00CF752D"/>
    <w:rsid w:val="00D07EAC"/>
    <w:rsid w:val="00D31EED"/>
    <w:rsid w:val="00D34F03"/>
    <w:rsid w:val="00D5009A"/>
    <w:rsid w:val="00D55AA4"/>
    <w:rsid w:val="00D5619B"/>
    <w:rsid w:val="00D60E59"/>
    <w:rsid w:val="00D70424"/>
    <w:rsid w:val="00D757EC"/>
    <w:rsid w:val="00D75FB1"/>
    <w:rsid w:val="00D8041D"/>
    <w:rsid w:val="00D919CB"/>
    <w:rsid w:val="00DA4E1A"/>
    <w:rsid w:val="00DB62C8"/>
    <w:rsid w:val="00DD2D3B"/>
    <w:rsid w:val="00DD2DC1"/>
    <w:rsid w:val="00DD7A81"/>
    <w:rsid w:val="00E01C3F"/>
    <w:rsid w:val="00E022D9"/>
    <w:rsid w:val="00E12E02"/>
    <w:rsid w:val="00E56A39"/>
    <w:rsid w:val="00E63731"/>
    <w:rsid w:val="00E75678"/>
    <w:rsid w:val="00E90415"/>
    <w:rsid w:val="00EA2FA4"/>
    <w:rsid w:val="00EB6BBF"/>
    <w:rsid w:val="00ED1EF9"/>
    <w:rsid w:val="00ED2A57"/>
    <w:rsid w:val="00ED4FB0"/>
    <w:rsid w:val="00EF6BF0"/>
    <w:rsid w:val="00F02946"/>
    <w:rsid w:val="00F155E2"/>
    <w:rsid w:val="00F42144"/>
    <w:rsid w:val="00F75B3D"/>
    <w:rsid w:val="00F84D59"/>
    <w:rsid w:val="00F910ED"/>
    <w:rsid w:val="00F94506"/>
    <w:rsid w:val="00FA199C"/>
    <w:rsid w:val="00FA2E37"/>
    <w:rsid w:val="00FA591D"/>
    <w:rsid w:val="00FC415D"/>
    <w:rsid w:val="00FD2F4E"/>
    <w:rsid w:val="00FD6533"/>
    <w:rsid w:val="00FF57EC"/>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A4CC13"/>
  <w15:docId w15:val="{AB2737BE-44A3-4FC6-AD7F-4C6C1A1E4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964FF"/>
    <w:pPr>
      <w:jc w:val="both"/>
    </w:pPr>
    <w:rPr>
      <w:rFonts w:ascii="Verdana" w:hAnsi="Verdana"/>
      <w:lang w:val="nl-NL" w:eastAsia="nl-NL"/>
    </w:rPr>
  </w:style>
  <w:style w:type="paragraph" w:styleId="Kop1">
    <w:name w:val="heading 1"/>
    <w:basedOn w:val="Standaard"/>
    <w:next w:val="Standaard"/>
    <w:qFormat/>
    <w:rsid w:val="00FA591D"/>
    <w:pPr>
      <w:keepNext/>
      <w:spacing w:before="240" w:after="60"/>
      <w:outlineLvl w:val="0"/>
    </w:pPr>
    <w:rPr>
      <w:rFonts w:cs="Arial"/>
      <w:b/>
      <w:bCs/>
      <w:kern w:val="32"/>
      <w:sz w:val="32"/>
      <w:szCs w:val="32"/>
    </w:rPr>
  </w:style>
  <w:style w:type="paragraph" w:styleId="Kop2">
    <w:name w:val="heading 2"/>
    <w:basedOn w:val="Standaard"/>
    <w:next w:val="Standaard"/>
    <w:qFormat/>
    <w:rsid w:val="00C92BE2"/>
    <w:pPr>
      <w:keepNext/>
      <w:keepLines/>
      <w:pBdr>
        <w:top w:val="single" w:sz="2" w:space="4" w:color="F5D419"/>
        <w:left w:val="single" w:sz="2" w:space="4" w:color="F5D419"/>
        <w:bottom w:val="single" w:sz="2" w:space="4" w:color="F5D419"/>
        <w:right w:val="single" w:sz="2" w:space="4" w:color="F5D419"/>
      </w:pBdr>
      <w:shd w:val="clear" w:color="auto" w:fill="F5D419"/>
      <w:spacing w:before="120" w:after="120"/>
      <w:outlineLvl w:val="1"/>
    </w:pPr>
    <w:rPr>
      <w:b/>
      <w:bCs/>
      <w:color w:val="333333"/>
      <w:sz w:val="24"/>
      <w:szCs w:val="26"/>
    </w:rPr>
  </w:style>
  <w:style w:type="paragraph" w:styleId="Kop3">
    <w:name w:val="heading 3"/>
    <w:basedOn w:val="Standaard"/>
    <w:next w:val="Standaard"/>
    <w:qFormat/>
    <w:rsid w:val="00976B88"/>
    <w:pPr>
      <w:keepNext/>
      <w:keepLines/>
      <w:pBdr>
        <w:top w:val="single" w:sz="2" w:space="5" w:color="C0C0C0"/>
        <w:left w:val="single" w:sz="2" w:space="4" w:color="C0C0C0"/>
        <w:bottom w:val="single" w:sz="2" w:space="5" w:color="C0C0C0"/>
        <w:right w:val="single" w:sz="2" w:space="4" w:color="C0C0C0"/>
      </w:pBdr>
      <w:shd w:val="clear" w:color="auto" w:fill="CCCCCC"/>
      <w:outlineLvl w:val="2"/>
    </w:pPr>
    <w:rPr>
      <w:b/>
      <w:bCs/>
      <w:sz w:val="24"/>
      <w:szCs w:val="22"/>
      <w:lang w:val="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Lijstalinea1">
    <w:name w:val="Lijstalinea1"/>
    <w:basedOn w:val="Standaard"/>
    <w:autoRedefine/>
    <w:qFormat/>
    <w:rsid w:val="00EA2FA4"/>
    <w:pPr>
      <w:numPr>
        <w:numId w:val="2"/>
      </w:numPr>
      <w:tabs>
        <w:tab w:val="clear" w:pos="-360"/>
        <w:tab w:val="num" w:pos="360"/>
      </w:tabs>
      <w:ind w:left="0" w:firstLine="0"/>
      <w:contextualSpacing/>
    </w:pPr>
    <w:rPr>
      <w:lang w:val="nl-BE"/>
    </w:rPr>
  </w:style>
  <w:style w:type="table" w:styleId="Tabelraster">
    <w:name w:val="Table Grid"/>
    <w:basedOn w:val="Standaardtabel"/>
    <w:rsid w:val="00A94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rsid w:val="00010CFD"/>
    <w:pPr>
      <w:tabs>
        <w:tab w:val="center" w:pos="4536"/>
        <w:tab w:val="right" w:pos="9072"/>
      </w:tabs>
    </w:pPr>
  </w:style>
  <w:style w:type="paragraph" w:styleId="Voettekst">
    <w:name w:val="footer"/>
    <w:basedOn w:val="Standaard"/>
    <w:rsid w:val="00010CFD"/>
    <w:pPr>
      <w:tabs>
        <w:tab w:val="center" w:pos="4536"/>
        <w:tab w:val="right" w:pos="9072"/>
      </w:tabs>
    </w:pPr>
  </w:style>
  <w:style w:type="character" w:styleId="Paginanummer">
    <w:name w:val="page number"/>
    <w:basedOn w:val="Standaardalinea-lettertype"/>
    <w:rsid w:val="00D75FB1"/>
  </w:style>
  <w:style w:type="paragraph" w:customStyle="1" w:styleId="SVVlaamsParlement">
    <w:name w:val="SV Vlaams Parlement"/>
    <w:basedOn w:val="Standaard"/>
    <w:rsid w:val="00C96513"/>
    <w:rPr>
      <w:rFonts w:ascii="Times New Roman" w:hAnsi="Times New Roman"/>
      <w:b/>
      <w:smallCaps/>
      <w:sz w:val="22"/>
    </w:rPr>
  </w:style>
  <w:style w:type="paragraph" w:customStyle="1" w:styleId="StandaardSV">
    <w:name w:val="Standaard SV"/>
    <w:basedOn w:val="Standaard"/>
    <w:link w:val="StandaardSVChar"/>
    <w:rsid w:val="00C96513"/>
    <w:rPr>
      <w:rFonts w:ascii="Times New Roman" w:hAnsi="Times New Roman"/>
      <w:sz w:val="22"/>
    </w:rPr>
  </w:style>
  <w:style w:type="paragraph" w:customStyle="1" w:styleId="StijlStandaardSVVerdana10ptCursiefLinks-175cm">
    <w:name w:val="Stijl Standaard SV + Verdana 10 pt Cursief Links:  -175 cm"/>
    <w:basedOn w:val="StandaardSV"/>
    <w:rsid w:val="00D07EAC"/>
    <w:rPr>
      <w:rFonts w:ascii="Verdana" w:hAnsi="Verdana"/>
      <w:i/>
      <w:iCs/>
      <w:sz w:val="20"/>
    </w:rPr>
  </w:style>
  <w:style w:type="paragraph" w:customStyle="1" w:styleId="StijlStandaardSVVerdana10ptLinks-175cm">
    <w:name w:val="Stijl Standaard SV + Verdana 10 pt Links:  -175 cm"/>
    <w:basedOn w:val="StandaardSV"/>
    <w:rsid w:val="00E75678"/>
    <w:rPr>
      <w:rFonts w:ascii="Verdana" w:hAnsi="Verdana"/>
      <w:sz w:val="20"/>
    </w:rPr>
  </w:style>
  <w:style w:type="paragraph" w:customStyle="1" w:styleId="StijlStandaardSVVerdana10ptLinks-175cmRechts-0">
    <w:name w:val="Stijl Standaard SV + Verdana 10 pt Links:  -175 cm Rechts:  -0..."/>
    <w:basedOn w:val="StandaardSV"/>
    <w:rsid w:val="00E75678"/>
    <w:rPr>
      <w:rFonts w:ascii="Verdana" w:hAnsi="Verdana"/>
      <w:sz w:val="20"/>
    </w:rPr>
  </w:style>
  <w:style w:type="paragraph" w:customStyle="1" w:styleId="StijlStandaardSVVerdana10ptLinks-175cmRechts-01">
    <w:name w:val="Stijl Standaard SV + Verdana 10 pt Links:  -175 cm Rechts:  -0...1"/>
    <w:basedOn w:val="StandaardSV"/>
    <w:link w:val="StijlStandaardSVVerdana10ptLinks-175cmRechts-01Char"/>
    <w:rsid w:val="00E75678"/>
    <w:pPr>
      <w:pBdr>
        <w:bottom w:val="single" w:sz="4" w:space="1" w:color="auto"/>
      </w:pBdr>
    </w:pPr>
    <w:rPr>
      <w:rFonts w:ascii="Verdana" w:hAnsi="Verdana"/>
      <w:sz w:val="20"/>
    </w:rPr>
  </w:style>
  <w:style w:type="paragraph" w:customStyle="1" w:styleId="StijlStandaardSVVerdana10ptCursiefLinks-175cmRec">
    <w:name w:val="Stijl Standaard SV + Verdana 10 pt Cursief Links:  -175 cm Rec..."/>
    <w:basedOn w:val="StandaardSV"/>
    <w:rsid w:val="00E75678"/>
    <w:rPr>
      <w:rFonts w:ascii="Verdana" w:hAnsi="Verdana"/>
      <w:i/>
      <w:iCs/>
      <w:sz w:val="20"/>
    </w:rPr>
  </w:style>
  <w:style w:type="paragraph" w:customStyle="1" w:styleId="Nummering">
    <w:name w:val="Nummering"/>
    <w:basedOn w:val="Lijstalinea"/>
    <w:link w:val="NummeringChar"/>
    <w:qFormat/>
    <w:rsid w:val="00D919CB"/>
    <w:pPr>
      <w:numPr>
        <w:numId w:val="14"/>
      </w:numPr>
      <w:spacing w:after="120"/>
      <w:contextualSpacing w:val="0"/>
    </w:pPr>
    <w:rPr>
      <w:szCs w:val="24"/>
      <w:lang w:val="en-US"/>
    </w:rPr>
  </w:style>
  <w:style w:type="character" w:customStyle="1" w:styleId="NummeringChar">
    <w:name w:val="Nummering Char"/>
    <w:link w:val="Nummering"/>
    <w:rsid w:val="00D919CB"/>
    <w:rPr>
      <w:rFonts w:ascii="Verdana" w:hAnsi="Verdana"/>
      <w:szCs w:val="24"/>
      <w:lang w:val="en-US" w:eastAsia="nl-NL"/>
    </w:rPr>
  </w:style>
  <w:style w:type="paragraph" w:styleId="Lijstalinea">
    <w:name w:val="List Paragraph"/>
    <w:basedOn w:val="Standaard"/>
    <w:link w:val="LijstalineaChar"/>
    <w:uiPriority w:val="34"/>
    <w:qFormat/>
    <w:rsid w:val="00E75678"/>
    <w:pPr>
      <w:ind w:left="720"/>
      <w:contextualSpacing/>
    </w:pPr>
  </w:style>
  <w:style w:type="paragraph" w:customStyle="1" w:styleId="nrtype1a">
    <w:name w:val="nr type 1a"/>
    <w:basedOn w:val="Nummering"/>
    <w:link w:val="nrtype1aChar"/>
    <w:rsid w:val="00E75678"/>
    <w:pPr>
      <w:numPr>
        <w:numId w:val="0"/>
      </w:numPr>
      <w:tabs>
        <w:tab w:val="num" w:pos="418"/>
      </w:tabs>
      <w:ind w:left="425" w:hanging="425"/>
    </w:pPr>
  </w:style>
  <w:style w:type="character" w:customStyle="1" w:styleId="nrtype1aChar">
    <w:name w:val="nr type 1a Char"/>
    <w:link w:val="nrtype1a"/>
    <w:rsid w:val="00E75678"/>
    <w:rPr>
      <w:rFonts w:ascii="Verdana" w:hAnsi="Verdana"/>
      <w:szCs w:val="24"/>
      <w:lang w:val="en-US" w:eastAsia="nl-NL"/>
    </w:rPr>
  </w:style>
  <w:style w:type="character" w:customStyle="1" w:styleId="KoptekstChar">
    <w:name w:val="Koptekst Char"/>
    <w:basedOn w:val="Standaardalinea-lettertype"/>
    <w:link w:val="Koptekst"/>
    <w:uiPriority w:val="99"/>
    <w:rsid w:val="00FC415D"/>
    <w:rPr>
      <w:rFonts w:ascii="Verdana" w:hAnsi="Verdana"/>
      <w:lang w:val="nl-NL" w:eastAsia="nl-NL"/>
    </w:rPr>
  </w:style>
  <w:style w:type="paragraph" w:styleId="Ballontekst">
    <w:name w:val="Balloon Text"/>
    <w:basedOn w:val="Standaard"/>
    <w:link w:val="BallontekstChar"/>
    <w:rsid w:val="00FC415D"/>
    <w:rPr>
      <w:rFonts w:ascii="Tahoma" w:hAnsi="Tahoma" w:cs="Tahoma"/>
      <w:sz w:val="16"/>
      <w:szCs w:val="16"/>
    </w:rPr>
  </w:style>
  <w:style w:type="character" w:customStyle="1" w:styleId="BallontekstChar">
    <w:name w:val="Ballontekst Char"/>
    <w:basedOn w:val="Standaardalinea-lettertype"/>
    <w:link w:val="Ballontekst"/>
    <w:rsid w:val="00FC415D"/>
    <w:rPr>
      <w:rFonts w:ascii="Tahoma" w:hAnsi="Tahoma" w:cs="Tahoma"/>
      <w:sz w:val="16"/>
      <w:szCs w:val="16"/>
      <w:lang w:val="nl-NL" w:eastAsia="nl-NL"/>
    </w:rPr>
  </w:style>
  <w:style w:type="paragraph" w:customStyle="1" w:styleId="Lijn">
    <w:name w:val="Lijn"/>
    <w:basedOn w:val="StijlStandaardSVVerdana10ptLinks-175cmRechts-01"/>
    <w:link w:val="LijnChar"/>
    <w:qFormat/>
    <w:rsid w:val="008076EB"/>
    <w:rPr>
      <w:lang w:val="nl-BE"/>
    </w:rPr>
  </w:style>
  <w:style w:type="character" w:customStyle="1" w:styleId="StandaardSVChar">
    <w:name w:val="Standaard SV Char"/>
    <w:basedOn w:val="Standaardalinea-lettertype"/>
    <w:link w:val="StandaardSV"/>
    <w:rsid w:val="008076EB"/>
    <w:rPr>
      <w:sz w:val="22"/>
      <w:lang w:val="nl-NL" w:eastAsia="nl-NL"/>
    </w:rPr>
  </w:style>
  <w:style w:type="character" w:customStyle="1" w:styleId="StijlStandaardSVVerdana10ptLinks-175cmRechts-01Char">
    <w:name w:val="Stijl Standaard SV + Verdana 10 pt Links:  -175 cm Rechts:  -0...1 Char"/>
    <w:basedOn w:val="StandaardSVChar"/>
    <w:link w:val="StijlStandaardSVVerdana10ptLinks-175cmRechts-01"/>
    <w:rsid w:val="008076EB"/>
    <w:rPr>
      <w:rFonts w:ascii="Verdana" w:hAnsi="Verdana"/>
      <w:sz w:val="22"/>
      <w:lang w:val="nl-NL" w:eastAsia="nl-NL"/>
    </w:rPr>
  </w:style>
  <w:style w:type="character" w:customStyle="1" w:styleId="LijnChar">
    <w:name w:val="Lijn Char"/>
    <w:basedOn w:val="StijlStandaardSVVerdana10ptLinks-175cmRechts-01Char"/>
    <w:link w:val="Lijn"/>
    <w:rsid w:val="008076EB"/>
    <w:rPr>
      <w:rFonts w:ascii="Verdana" w:hAnsi="Verdana"/>
      <w:sz w:val="22"/>
      <w:lang w:val="nl-NL" w:eastAsia="nl-NL"/>
    </w:rPr>
  </w:style>
  <w:style w:type="paragraph" w:customStyle="1" w:styleId="opschrift">
    <w:name w:val="opschrift"/>
    <w:basedOn w:val="Standaard"/>
    <w:link w:val="opschriftChar"/>
    <w:qFormat/>
    <w:rsid w:val="00843090"/>
    <w:pPr>
      <w:spacing w:before="1440"/>
    </w:pPr>
    <w:rPr>
      <w:b/>
      <w:i/>
      <w:smallCaps/>
    </w:rPr>
  </w:style>
  <w:style w:type="character" w:customStyle="1" w:styleId="opschriftChar">
    <w:name w:val="opschrift Char"/>
    <w:basedOn w:val="Standaardalinea-lettertype"/>
    <w:link w:val="opschrift"/>
    <w:rsid w:val="00843090"/>
    <w:rPr>
      <w:rFonts w:ascii="Verdana" w:hAnsi="Verdana"/>
      <w:b/>
      <w:i/>
      <w:smallCaps/>
      <w:lang w:val="nl-NL" w:eastAsia="nl-NL"/>
    </w:rPr>
  </w:style>
  <w:style w:type="character" w:styleId="Voetnootmarkering">
    <w:name w:val="footnote reference"/>
    <w:basedOn w:val="Standaardalinea-lettertype"/>
    <w:uiPriority w:val="99"/>
    <w:semiHidden/>
    <w:unhideWhenUsed/>
    <w:rsid w:val="00B964FF"/>
    <w:rPr>
      <w:vertAlign w:val="superscript"/>
    </w:rPr>
  </w:style>
  <w:style w:type="paragraph" w:styleId="Voetnoottekst">
    <w:name w:val="footnote text"/>
    <w:basedOn w:val="Standaard"/>
    <w:link w:val="VoetnoottekstChar"/>
    <w:unhideWhenUsed/>
    <w:rsid w:val="00B964FF"/>
    <w:rPr>
      <w:sz w:val="16"/>
    </w:rPr>
  </w:style>
  <w:style w:type="character" w:customStyle="1" w:styleId="VoetnoottekstChar">
    <w:name w:val="Voetnoottekst Char"/>
    <w:basedOn w:val="Standaardalinea-lettertype"/>
    <w:link w:val="Voetnoottekst"/>
    <w:rsid w:val="00B964FF"/>
    <w:rPr>
      <w:rFonts w:ascii="Verdana" w:hAnsi="Verdana"/>
      <w:sz w:val="16"/>
      <w:lang w:val="nl-NL" w:eastAsia="nl-NL"/>
    </w:rPr>
  </w:style>
  <w:style w:type="paragraph" w:styleId="Revisie">
    <w:name w:val="Revision"/>
    <w:hidden/>
    <w:uiPriority w:val="99"/>
    <w:semiHidden/>
    <w:rsid w:val="00887347"/>
    <w:rPr>
      <w:rFonts w:ascii="Verdana" w:hAnsi="Verdana"/>
      <w:lang w:val="nl-NL" w:eastAsia="nl-NL"/>
    </w:rPr>
  </w:style>
  <w:style w:type="character" w:styleId="Hyperlink">
    <w:name w:val="Hyperlink"/>
    <w:basedOn w:val="Standaardalinea-lettertype"/>
    <w:unhideWhenUsed/>
    <w:rsid w:val="00887347"/>
    <w:rPr>
      <w:color w:val="0000FF" w:themeColor="hyperlink"/>
      <w:u w:val="single"/>
    </w:rPr>
  </w:style>
  <w:style w:type="character" w:styleId="Onopgelostemelding">
    <w:name w:val="Unresolved Mention"/>
    <w:basedOn w:val="Standaardalinea-lettertype"/>
    <w:uiPriority w:val="99"/>
    <w:semiHidden/>
    <w:unhideWhenUsed/>
    <w:rsid w:val="00887347"/>
    <w:rPr>
      <w:color w:val="605E5C"/>
      <w:shd w:val="clear" w:color="auto" w:fill="E1DFDD"/>
    </w:rPr>
  </w:style>
  <w:style w:type="character" w:customStyle="1" w:styleId="LijstalineaChar">
    <w:name w:val="Lijstalinea Char"/>
    <w:basedOn w:val="Standaardalinea-lettertype"/>
    <w:link w:val="Lijstalinea"/>
    <w:uiPriority w:val="34"/>
    <w:locked/>
    <w:rsid w:val="009A13C5"/>
    <w:rPr>
      <w:rFonts w:ascii="Verdana" w:hAnsi="Verdana"/>
      <w:lang w:val="nl-NL" w:eastAsia="nl-NL"/>
    </w:rPr>
  </w:style>
  <w:style w:type="character" w:styleId="Verwijzingopmerking">
    <w:name w:val="annotation reference"/>
    <w:basedOn w:val="Standaardalinea-lettertype"/>
    <w:semiHidden/>
    <w:unhideWhenUsed/>
    <w:rsid w:val="00A15B2F"/>
    <w:rPr>
      <w:sz w:val="16"/>
      <w:szCs w:val="16"/>
    </w:rPr>
  </w:style>
  <w:style w:type="paragraph" w:styleId="Tekstopmerking">
    <w:name w:val="annotation text"/>
    <w:basedOn w:val="Standaard"/>
    <w:link w:val="TekstopmerkingChar"/>
    <w:semiHidden/>
    <w:unhideWhenUsed/>
    <w:rsid w:val="00A15B2F"/>
    <w:pPr>
      <w:jc w:val="left"/>
    </w:pPr>
    <w:rPr>
      <w:rFonts w:ascii="Times New Roman" w:hAnsi="Times New Roman"/>
    </w:rPr>
  </w:style>
  <w:style w:type="character" w:customStyle="1" w:styleId="TekstopmerkingChar">
    <w:name w:val="Tekst opmerking Char"/>
    <w:basedOn w:val="Standaardalinea-lettertype"/>
    <w:link w:val="Tekstopmerking"/>
    <w:semiHidden/>
    <w:rsid w:val="00A15B2F"/>
    <w:rPr>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93783">
      <w:bodyDiv w:val="1"/>
      <w:marLeft w:val="0"/>
      <w:marRight w:val="0"/>
      <w:marTop w:val="0"/>
      <w:marBottom w:val="0"/>
      <w:divBdr>
        <w:top w:val="none" w:sz="0" w:space="0" w:color="auto"/>
        <w:left w:val="none" w:sz="0" w:space="0" w:color="auto"/>
        <w:bottom w:val="none" w:sz="0" w:space="0" w:color="auto"/>
        <w:right w:val="none" w:sz="0" w:space="0" w:color="auto"/>
      </w:divBdr>
    </w:div>
    <w:div w:id="101537130">
      <w:bodyDiv w:val="1"/>
      <w:marLeft w:val="0"/>
      <w:marRight w:val="0"/>
      <w:marTop w:val="0"/>
      <w:marBottom w:val="0"/>
      <w:divBdr>
        <w:top w:val="none" w:sz="0" w:space="0" w:color="auto"/>
        <w:left w:val="none" w:sz="0" w:space="0" w:color="auto"/>
        <w:bottom w:val="none" w:sz="0" w:space="0" w:color="auto"/>
        <w:right w:val="none" w:sz="0" w:space="0" w:color="auto"/>
      </w:divBdr>
    </w:div>
    <w:div w:id="189417597">
      <w:bodyDiv w:val="1"/>
      <w:marLeft w:val="0"/>
      <w:marRight w:val="0"/>
      <w:marTop w:val="0"/>
      <w:marBottom w:val="0"/>
      <w:divBdr>
        <w:top w:val="none" w:sz="0" w:space="0" w:color="auto"/>
        <w:left w:val="none" w:sz="0" w:space="0" w:color="auto"/>
        <w:bottom w:val="none" w:sz="0" w:space="0" w:color="auto"/>
        <w:right w:val="none" w:sz="0" w:space="0" w:color="auto"/>
      </w:divBdr>
    </w:div>
    <w:div w:id="323700923">
      <w:bodyDiv w:val="1"/>
      <w:marLeft w:val="0"/>
      <w:marRight w:val="0"/>
      <w:marTop w:val="0"/>
      <w:marBottom w:val="0"/>
      <w:divBdr>
        <w:top w:val="none" w:sz="0" w:space="0" w:color="auto"/>
        <w:left w:val="none" w:sz="0" w:space="0" w:color="auto"/>
        <w:bottom w:val="none" w:sz="0" w:space="0" w:color="auto"/>
        <w:right w:val="none" w:sz="0" w:space="0" w:color="auto"/>
      </w:divBdr>
    </w:div>
    <w:div w:id="541789989">
      <w:bodyDiv w:val="1"/>
      <w:marLeft w:val="0"/>
      <w:marRight w:val="0"/>
      <w:marTop w:val="0"/>
      <w:marBottom w:val="0"/>
      <w:divBdr>
        <w:top w:val="none" w:sz="0" w:space="0" w:color="auto"/>
        <w:left w:val="none" w:sz="0" w:space="0" w:color="auto"/>
        <w:bottom w:val="none" w:sz="0" w:space="0" w:color="auto"/>
        <w:right w:val="none" w:sz="0" w:space="0" w:color="auto"/>
      </w:divBdr>
    </w:div>
    <w:div w:id="862789668">
      <w:bodyDiv w:val="1"/>
      <w:marLeft w:val="0"/>
      <w:marRight w:val="0"/>
      <w:marTop w:val="0"/>
      <w:marBottom w:val="0"/>
      <w:divBdr>
        <w:top w:val="none" w:sz="0" w:space="0" w:color="auto"/>
        <w:left w:val="none" w:sz="0" w:space="0" w:color="auto"/>
        <w:bottom w:val="none" w:sz="0" w:space="0" w:color="auto"/>
        <w:right w:val="none" w:sz="0" w:space="0" w:color="auto"/>
      </w:divBdr>
    </w:div>
    <w:div w:id="870533977">
      <w:bodyDiv w:val="1"/>
      <w:marLeft w:val="0"/>
      <w:marRight w:val="0"/>
      <w:marTop w:val="0"/>
      <w:marBottom w:val="0"/>
      <w:divBdr>
        <w:top w:val="none" w:sz="0" w:space="0" w:color="auto"/>
        <w:left w:val="none" w:sz="0" w:space="0" w:color="auto"/>
        <w:bottom w:val="none" w:sz="0" w:space="0" w:color="auto"/>
        <w:right w:val="none" w:sz="0" w:space="0" w:color="auto"/>
      </w:divBdr>
    </w:div>
    <w:div w:id="181849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vlaanderen.be/belastingen-en-begroting/vlaamse-belastingen/afbetalingsplan-voor-vlaamse-belastingen"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95c7067-0923-4212-b965-7202080cb329" xsi:nil="true"/>
    <Auteur xmlns="8bf56dbb-1477-4bbe-8979-5b7d59a4e2da">
      <UserInfo>
        <DisplayName/>
        <AccountId xsi:nil="true"/>
        <AccountType/>
      </UserInfo>
    </Auteur>
    <lcf76f155ced4ddcb4097134ff3c332f xmlns="8bf56dbb-1477-4bbe-8979-5b7d59a4e2d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7E21002DB1277479CD146F04ED93DF7" ma:contentTypeVersion="17" ma:contentTypeDescription="Een nieuw document maken." ma:contentTypeScope="" ma:versionID="c4b74531885ef7a643740a01749f29ec">
  <xsd:schema xmlns:xsd="http://www.w3.org/2001/XMLSchema" xmlns:xs="http://www.w3.org/2001/XMLSchema" xmlns:p="http://schemas.microsoft.com/office/2006/metadata/properties" xmlns:ns2="8bf56dbb-1477-4bbe-8979-5b7d59a4e2da" xmlns:ns3="a95c7067-0923-4212-b965-7202080cb329" targetNamespace="http://schemas.microsoft.com/office/2006/metadata/properties" ma:root="true" ma:fieldsID="b16d6c3115e5f4a2ea4a3ee557e78ee5" ns2:_="" ns3:_="">
    <xsd:import namespace="8bf56dbb-1477-4bbe-8979-5b7d59a4e2da"/>
    <xsd:import namespace="a95c7067-0923-4212-b965-7202080cb3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Auteu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f56dbb-1477-4bbe-8979-5b7d59a4e2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Auteur" ma:index="20" nillable="true" ma:displayName="Auteur" ma:format="Dropdown" ma:list="UserInfo" ma:SharePointGroup="0" ma:internalName="Auteu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5c7067-0923-4212-b965-7202080cb32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9586518-5a55-4330-9830-1f95a8474815}" ma:internalName="TaxCatchAll" ma:showField="CatchAllData" ma:web="a95c7067-0923-4212-b965-7202080cb3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3B0D8F-9D8E-4710-B55B-15DC542F4C5A}">
  <ds:schemaRefs>
    <ds:schemaRef ds:uri="http://schemas.microsoft.com/office/2006/metadata/properties"/>
    <ds:schemaRef ds:uri="http://schemas.microsoft.com/office/infopath/2007/PartnerControls"/>
    <ds:schemaRef ds:uri="a95c7067-0923-4212-b965-7202080cb329"/>
    <ds:schemaRef ds:uri="8bf56dbb-1477-4bbe-8979-5b7d59a4e2da"/>
  </ds:schemaRefs>
</ds:datastoreItem>
</file>

<file path=customXml/itemProps2.xml><?xml version="1.0" encoding="utf-8"?>
<ds:datastoreItem xmlns:ds="http://schemas.openxmlformats.org/officeDocument/2006/customXml" ds:itemID="{73CA0629-CB6B-494A-B837-ED7AA44B5A53}">
  <ds:schemaRefs>
    <ds:schemaRef ds:uri="http://schemas.openxmlformats.org/officeDocument/2006/bibliography"/>
  </ds:schemaRefs>
</ds:datastoreItem>
</file>

<file path=customXml/itemProps3.xml><?xml version="1.0" encoding="utf-8"?>
<ds:datastoreItem xmlns:ds="http://schemas.openxmlformats.org/officeDocument/2006/customXml" ds:itemID="{CE4C73A6-18A6-4C37-89A0-C09E9B1709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f56dbb-1477-4bbe-8979-5b7d59a4e2da"/>
    <ds:schemaRef ds:uri="a95c7067-0923-4212-b965-7202080cb3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E8091A-9517-4578-9C69-3B4AF0C4CDAF}">
  <ds:schemaRefs>
    <ds:schemaRef ds:uri="http://schemas.microsoft.com/sharepoint/v3/contenttype/forms"/>
  </ds:schemaRefs>
</ds:datastoreItem>
</file>

<file path=docMetadata/LabelInfo.xml><?xml version="1.0" encoding="utf-8"?>
<clbl:labelList xmlns:clbl="http://schemas.microsoft.com/office/2020/mipLabelMetadata">
  <clbl:label id="{0c0338a6-9561-4ee8-b8d6-4e89cbd520a0}" enabled="0" method="" siteId="{0c0338a6-9561-4ee8-b8d6-4e89cbd520a0}"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935</Words>
  <Characters>5147</Characters>
  <Application>Microsoft Office Word</Application>
  <DocSecurity>4</DocSecurity>
  <Lines>42</Lines>
  <Paragraphs>12</Paragraphs>
  <ScaleCrop>false</ScaleCrop>
  <HeadingPairs>
    <vt:vector size="2" baseType="variant">
      <vt:variant>
        <vt:lpstr>Titel</vt:lpstr>
      </vt:variant>
      <vt:variant>
        <vt:i4>1</vt:i4>
      </vt:variant>
    </vt:vector>
  </HeadingPairs>
  <TitlesOfParts>
    <vt:vector size="1" baseType="lpstr">
      <vt:lpstr>Schriftelijke vraag</vt:lpstr>
    </vt:vector>
  </TitlesOfParts>
  <Company>Vlaams Parlement</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Schriftelijke vraag</dc:title>
  <dc:creator>Vlaams Parlement</dc:creator>
  <cp:lastModifiedBy>William Van Kerckhoven</cp:lastModifiedBy>
  <cp:revision>2</cp:revision>
  <cp:lastPrinted>2026-05-18T09:19:00Z</cp:lastPrinted>
  <dcterms:created xsi:type="dcterms:W3CDTF">2026-06-24T06:18:00Z</dcterms:created>
  <dcterms:modified xsi:type="dcterms:W3CDTF">2026-06-24T06:18:00Z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0x010100C7E21002DB1277479CD146F04ED93DF7</vt:lpwstr>
  </property>
  <property fmtid="{D5CDD505-2E9C-101B-9397-08002B2CF9AE}" pid="3" name="_dlc_DocIdItemGuid">
    <vt:lpwstr>c945a109-2992-4800-b7a9-4e586956041a</vt:lpwstr>
  </property>
  <property fmtid="{D5CDD505-2E9C-101B-9397-08002B2CF9AE}" pid="4" name="MediaServiceImageTags">
    <vt:lpwstr/>
  </property>
</Properties>
</file>